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E99" w:rsidRPr="008C5E99" w:rsidRDefault="008C5E99" w:rsidP="008C5E99">
      <w:pPr>
        <w:spacing w:after="200" w:line="276" w:lineRule="auto"/>
        <w:jc w:val="center"/>
        <w:rPr>
          <w:rFonts w:ascii="Calibri" w:eastAsia="Calibri" w:hAnsi="Calibri" w:cs="Times New Roman"/>
          <w:b/>
        </w:rPr>
      </w:pPr>
      <w:r w:rsidRPr="008C5E99">
        <w:rPr>
          <w:rFonts w:ascii="Calibri" w:eastAsia="Calibri" w:hAnsi="Calibri" w:cs="Times New Roman"/>
          <w:b/>
        </w:rPr>
        <w:t xml:space="preserve">OFERTA TECHNICZNA </w:t>
      </w:r>
      <w:r>
        <w:rPr>
          <w:rFonts w:ascii="Calibri" w:eastAsia="Calibri" w:hAnsi="Calibri" w:cs="Times New Roman"/>
          <w:b/>
        </w:rPr>
        <w:t xml:space="preserve">OFEROWANEGO </w:t>
      </w:r>
      <w:r w:rsidRPr="008C5E99">
        <w:rPr>
          <w:rFonts w:ascii="Calibri" w:eastAsia="Calibri" w:hAnsi="Calibri" w:cs="Times New Roman"/>
          <w:b/>
        </w:rPr>
        <w:t>KOMPUTER</w:t>
      </w:r>
      <w:r>
        <w:rPr>
          <w:rFonts w:ascii="Calibri" w:eastAsia="Calibri" w:hAnsi="Calibri" w:cs="Times New Roman"/>
          <w:b/>
        </w:rPr>
        <w:t>A STACJONARNEGO</w:t>
      </w:r>
      <w:r w:rsidRPr="008C5E99">
        <w:rPr>
          <w:rFonts w:ascii="Calibri" w:eastAsia="Calibri" w:hAnsi="Calibri" w:cs="Times New Roman"/>
          <w:b/>
        </w:rPr>
        <w:t>, TYPU ALL IN ONE WRAZ Z OPROGRAMOWANIEM</w:t>
      </w:r>
    </w:p>
    <w:p w:rsidR="008C5E99" w:rsidRPr="008C5E99" w:rsidRDefault="008C5E99" w:rsidP="008C5E99">
      <w:pPr>
        <w:spacing w:after="200" w:line="276" w:lineRule="auto"/>
        <w:rPr>
          <w:rFonts w:ascii="Calibri" w:eastAsia="Calibri" w:hAnsi="Calibri" w:cs="Times New Roman"/>
          <w:b/>
        </w:rPr>
      </w:pPr>
      <w:r w:rsidRPr="008C5E99">
        <w:rPr>
          <w:rFonts w:ascii="Calibri" w:eastAsia="Calibri" w:hAnsi="Calibri" w:cs="Times New Roman"/>
          <w:b/>
        </w:rPr>
        <w:t>Nazwa producenta:…………………………. Typ:……………………………………………. Model:……………………….</w:t>
      </w:r>
    </w:p>
    <w:p w:rsidR="008C5E99" w:rsidRDefault="008C5E99"/>
    <w:tbl>
      <w:tblPr>
        <w:tblStyle w:val="Tabela-Siatka"/>
        <w:tblW w:w="0" w:type="auto"/>
        <w:tblLook w:val="04A0" w:firstRow="1" w:lastRow="0" w:firstColumn="1" w:lastColumn="0" w:noHBand="0" w:noVBand="1"/>
      </w:tblPr>
      <w:tblGrid>
        <w:gridCol w:w="513"/>
        <w:gridCol w:w="1736"/>
        <w:gridCol w:w="4929"/>
        <w:gridCol w:w="1884"/>
      </w:tblGrid>
      <w:tr w:rsidR="008C5E99" w:rsidTr="008C5E99">
        <w:tc>
          <w:tcPr>
            <w:tcW w:w="513" w:type="dxa"/>
            <w:shd w:val="clear" w:color="auto" w:fill="D9D9D9" w:themeFill="background1" w:themeFillShade="D9"/>
            <w:vAlign w:val="center"/>
          </w:tcPr>
          <w:p w:rsidR="008C5E99" w:rsidRPr="00694C66" w:rsidRDefault="008C5E99" w:rsidP="00694C66">
            <w:pPr>
              <w:jc w:val="center"/>
              <w:rPr>
                <w:b/>
              </w:rPr>
            </w:pPr>
            <w:proofErr w:type="spellStart"/>
            <w:r w:rsidRPr="00694C66">
              <w:rPr>
                <w:b/>
              </w:rPr>
              <w:t>Lp</w:t>
            </w:r>
            <w:proofErr w:type="spellEnd"/>
          </w:p>
        </w:tc>
        <w:tc>
          <w:tcPr>
            <w:tcW w:w="1736" w:type="dxa"/>
            <w:shd w:val="clear" w:color="auto" w:fill="D9D9D9" w:themeFill="background1" w:themeFillShade="D9"/>
            <w:vAlign w:val="center"/>
          </w:tcPr>
          <w:p w:rsidR="008C5E99" w:rsidRPr="00694C66" w:rsidRDefault="008C5E99" w:rsidP="00694C66">
            <w:pPr>
              <w:jc w:val="center"/>
              <w:rPr>
                <w:b/>
              </w:rPr>
            </w:pPr>
            <w:r w:rsidRPr="00694C66">
              <w:rPr>
                <w:b/>
              </w:rPr>
              <w:t>Paramet</w:t>
            </w:r>
            <w:bookmarkStart w:id="0" w:name="_GoBack"/>
            <w:bookmarkEnd w:id="0"/>
            <w:r w:rsidRPr="00694C66">
              <w:rPr>
                <w:b/>
              </w:rPr>
              <w:t>ry</w:t>
            </w:r>
          </w:p>
        </w:tc>
        <w:tc>
          <w:tcPr>
            <w:tcW w:w="4929" w:type="dxa"/>
            <w:shd w:val="clear" w:color="auto" w:fill="D9D9D9" w:themeFill="background1" w:themeFillShade="D9"/>
            <w:vAlign w:val="center"/>
          </w:tcPr>
          <w:p w:rsidR="008C5E99" w:rsidRPr="00694C66" w:rsidRDefault="008C5E99" w:rsidP="00694C66">
            <w:pPr>
              <w:jc w:val="center"/>
              <w:rPr>
                <w:b/>
              </w:rPr>
            </w:pPr>
            <w:r w:rsidRPr="00694C66">
              <w:rPr>
                <w:b/>
              </w:rPr>
              <w:t>Minimalne wymagania</w:t>
            </w:r>
          </w:p>
        </w:tc>
        <w:tc>
          <w:tcPr>
            <w:tcW w:w="1884" w:type="dxa"/>
            <w:shd w:val="clear" w:color="auto" w:fill="D9D9D9" w:themeFill="background1" w:themeFillShade="D9"/>
            <w:vAlign w:val="center"/>
          </w:tcPr>
          <w:p w:rsidR="008C5E99" w:rsidRPr="008C5E99" w:rsidRDefault="008C5E99" w:rsidP="008C5E99">
            <w:pPr>
              <w:jc w:val="center"/>
              <w:rPr>
                <w:b/>
              </w:rPr>
            </w:pPr>
            <w:r w:rsidRPr="008C5E99">
              <w:rPr>
                <w:b/>
              </w:rPr>
              <w:t>Parametry oferowane</w:t>
            </w:r>
          </w:p>
          <w:p w:rsidR="008C5E99" w:rsidRPr="00694C66" w:rsidRDefault="008C5E99" w:rsidP="008C5E99">
            <w:pPr>
              <w:jc w:val="center"/>
              <w:rPr>
                <w:b/>
              </w:rPr>
            </w:pPr>
            <w:r w:rsidRPr="008C5E99">
              <w:rPr>
                <w:b/>
              </w:rPr>
              <w:t xml:space="preserve"> lub “spełnia”</w:t>
            </w:r>
          </w:p>
        </w:tc>
      </w:tr>
      <w:tr w:rsidR="008C5E99" w:rsidTr="008C5E99">
        <w:tc>
          <w:tcPr>
            <w:tcW w:w="513" w:type="dxa"/>
          </w:tcPr>
          <w:p w:rsidR="008C5E99" w:rsidRDefault="008C5E99" w:rsidP="00694C66">
            <w:pPr>
              <w:jc w:val="right"/>
            </w:pPr>
            <w:r>
              <w:t>1.</w:t>
            </w:r>
          </w:p>
        </w:tc>
        <w:tc>
          <w:tcPr>
            <w:tcW w:w="1736" w:type="dxa"/>
          </w:tcPr>
          <w:p w:rsidR="008C5E99" w:rsidRDefault="008C5E99">
            <w:r>
              <w:t>Typ</w:t>
            </w:r>
          </w:p>
        </w:tc>
        <w:tc>
          <w:tcPr>
            <w:tcW w:w="4929" w:type="dxa"/>
          </w:tcPr>
          <w:p w:rsidR="008C5E99" w:rsidRPr="00902A0E" w:rsidRDefault="008C5E99" w:rsidP="00083749">
            <w:pPr>
              <w:jc w:val="both"/>
            </w:pPr>
            <w:r>
              <w:t>K</w:t>
            </w:r>
            <w:r w:rsidRPr="00902A0E">
              <w:t>omputer stacjonarny</w:t>
            </w:r>
            <w:r>
              <w:t>.</w:t>
            </w:r>
          </w:p>
        </w:tc>
        <w:tc>
          <w:tcPr>
            <w:tcW w:w="1884" w:type="dxa"/>
          </w:tcPr>
          <w:p w:rsidR="008C5E99" w:rsidRDefault="008C5E99" w:rsidP="00083749">
            <w:pPr>
              <w:jc w:val="both"/>
            </w:pPr>
          </w:p>
        </w:tc>
      </w:tr>
      <w:tr w:rsidR="008C5E99" w:rsidTr="008C5E99">
        <w:tc>
          <w:tcPr>
            <w:tcW w:w="513" w:type="dxa"/>
          </w:tcPr>
          <w:p w:rsidR="008C5E99" w:rsidRDefault="008C5E99" w:rsidP="00694C66">
            <w:pPr>
              <w:jc w:val="right"/>
            </w:pPr>
            <w:r>
              <w:t>2.</w:t>
            </w:r>
          </w:p>
        </w:tc>
        <w:tc>
          <w:tcPr>
            <w:tcW w:w="1736" w:type="dxa"/>
          </w:tcPr>
          <w:p w:rsidR="008C5E99" w:rsidRDefault="008C5E99">
            <w:r>
              <w:t>Zastosowanie</w:t>
            </w:r>
          </w:p>
        </w:tc>
        <w:tc>
          <w:tcPr>
            <w:tcW w:w="4929" w:type="dxa"/>
          </w:tcPr>
          <w:p w:rsidR="008C5E99" w:rsidRDefault="008C5E99" w:rsidP="00083749">
            <w:pPr>
              <w:jc w:val="both"/>
            </w:pPr>
            <w:r>
              <w:t>A</w:t>
            </w:r>
            <w:r w:rsidRPr="00A220F6">
              <w:t xml:space="preserve">plikacje biurowe, dostęp do </w:t>
            </w:r>
            <w:proofErr w:type="spellStart"/>
            <w:r w:rsidRPr="00A220F6">
              <w:t>internetu</w:t>
            </w:r>
            <w:proofErr w:type="spellEnd"/>
            <w:r w:rsidRPr="00A220F6">
              <w:t xml:space="preserve"> i poczty elektronicznej</w:t>
            </w:r>
            <w:r>
              <w:t>.</w:t>
            </w:r>
          </w:p>
        </w:tc>
        <w:tc>
          <w:tcPr>
            <w:tcW w:w="1884" w:type="dxa"/>
          </w:tcPr>
          <w:p w:rsidR="008C5E99" w:rsidRDefault="008C5E99" w:rsidP="00083749">
            <w:pPr>
              <w:jc w:val="both"/>
            </w:pPr>
          </w:p>
        </w:tc>
      </w:tr>
      <w:tr w:rsidR="008C5E99" w:rsidTr="008C5E99">
        <w:tc>
          <w:tcPr>
            <w:tcW w:w="513" w:type="dxa"/>
          </w:tcPr>
          <w:p w:rsidR="008C5E99" w:rsidRDefault="008C5E99" w:rsidP="00694C66">
            <w:pPr>
              <w:jc w:val="right"/>
            </w:pPr>
            <w:r>
              <w:t>3.</w:t>
            </w:r>
          </w:p>
        </w:tc>
        <w:tc>
          <w:tcPr>
            <w:tcW w:w="1736" w:type="dxa"/>
          </w:tcPr>
          <w:p w:rsidR="008C5E99" w:rsidRDefault="008C5E99">
            <w:r>
              <w:t>Obudowa</w:t>
            </w:r>
          </w:p>
        </w:tc>
        <w:tc>
          <w:tcPr>
            <w:tcW w:w="4929" w:type="dxa"/>
          </w:tcPr>
          <w:p w:rsidR="008C5E99" w:rsidRDefault="008C5E99" w:rsidP="00083749">
            <w:pPr>
              <w:pStyle w:val="Akapitzlist"/>
              <w:numPr>
                <w:ilvl w:val="0"/>
                <w:numId w:val="2"/>
              </w:numPr>
              <w:jc w:val="both"/>
            </w:pPr>
            <w:r>
              <w:t xml:space="preserve">typu </w:t>
            </w:r>
            <w:proofErr w:type="spellStart"/>
            <w:r>
              <w:t>All</w:t>
            </w:r>
            <w:proofErr w:type="spellEnd"/>
            <w:r>
              <w:t>-in-One – płyta główna, procesor, dysk twardy oraz inne komponenty zintegrowane z monitorem min. 23,5” w jednej obudowie.</w:t>
            </w:r>
          </w:p>
          <w:p w:rsidR="008C5E99" w:rsidRDefault="008C5E99" w:rsidP="00083749">
            <w:pPr>
              <w:pStyle w:val="Akapitzlist"/>
              <w:numPr>
                <w:ilvl w:val="0"/>
                <w:numId w:val="2"/>
              </w:numPr>
              <w:jc w:val="both"/>
            </w:pPr>
            <w:r>
              <w:t>montaż oraz demontaż podstawy nie może wymagać użycia narzędzi, a mocowanie podstawy musi posiadać przycisk zwalniający.</w:t>
            </w:r>
          </w:p>
          <w:p w:rsidR="008C5E99" w:rsidRDefault="008C5E99" w:rsidP="00083749">
            <w:pPr>
              <w:pStyle w:val="Akapitzlist"/>
              <w:numPr>
                <w:ilvl w:val="0"/>
                <w:numId w:val="2"/>
              </w:numPr>
              <w:jc w:val="both"/>
            </w:pPr>
            <w:r>
              <w:t xml:space="preserve">tylna pokrywa obudowy demontowana </w:t>
            </w:r>
            <w:proofErr w:type="spellStart"/>
            <w:r>
              <w:t>beznarzędziowo</w:t>
            </w:r>
            <w:proofErr w:type="spellEnd"/>
            <w:r>
              <w:t xml:space="preserve">. Nie dopuszcza się stosowania śrub motylkowych, </w:t>
            </w:r>
            <w:proofErr w:type="spellStart"/>
            <w:r>
              <w:t>radełkowych</w:t>
            </w:r>
            <w:proofErr w:type="spellEnd"/>
            <w:r>
              <w:t xml:space="preserve"> czy zwykłych wkrętów. </w:t>
            </w:r>
          </w:p>
          <w:p w:rsidR="008C5E99" w:rsidRDefault="008C5E99" w:rsidP="00083749">
            <w:pPr>
              <w:pStyle w:val="Akapitzlist"/>
              <w:numPr>
                <w:ilvl w:val="0"/>
                <w:numId w:val="2"/>
              </w:numPr>
              <w:jc w:val="both"/>
            </w:pPr>
            <w:r>
              <w:t xml:space="preserve">podstawa jednostki typu </w:t>
            </w:r>
            <w:proofErr w:type="spellStart"/>
            <w:r>
              <w:t>All</w:t>
            </w:r>
            <w:proofErr w:type="spellEnd"/>
            <w:r>
              <w:t xml:space="preserve"> – in – One musi umożliwiać regulację wysokości w zakresie minimum 10 cm., </w:t>
            </w:r>
          </w:p>
          <w:p w:rsidR="008C5E99" w:rsidRDefault="008C5E99" w:rsidP="00083749">
            <w:pPr>
              <w:pStyle w:val="Akapitzlist"/>
              <w:numPr>
                <w:ilvl w:val="0"/>
                <w:numId w:val="2"/>
              </w:numPr>
              <w:jc w:val="both"/>
            </w:pPr>
            <w:r>
              <w:t>komputer musi być oznaczony niepowtarzalnym numerem seryjnym umieszczonym na obudowie oraz musi być wpisany na stałe w BIOS</w:t>
            </w:r>
          </w:p>
        </w:tc>
        <w:tc>
          <w:tcPr>
            <w:tcW w:w="1884" w:type="dxa"/>
          </w:tcPr>
          <w:p w:rsidR="008C5E99" w:rsidRDefault="008C5E99" w:rsidP="008C5E99">
            <w:pPr>
              <w:jc w:val="both"/>
            </w:pPr>
          </w:p>
        </w:tc>
      </w:tr>
      <w:tr w:rsidR="008C5E99" w:rsidTr="008C5E99">
        <w:tc>
          <w:tcPr>
            <w:tcW w:w="513" w:type="dxa"/>
          </w:tcPr>
          <w:p w:rsidR="008C5E99" w:rsidRDefault="008C5E99" w:rsidP="00694C66">
            <w:pPr>
              <w:jc w:val="right"/>
            </w:pPr>
            <w:r>
              <w:t>4.</w:t>
            </w:r>
          </w:p>
        </w:tc>
        <w:tc>
          <w:tcPr>
            <w:tcW w:w="1736" w:type="dxa"/>
          </w:tcPr>
          <w:p w:rsidR="008C5E99" w:rsidRDefault="008C5E99">
            <w:r>
              <w:t>Wyświetlacz</w:t>
            </w:r>
          </w:p>
        </w:tc>
        <w:tc>
          <w:tcPr>
            <w:tcW w:w="4929" w:type="dxa"/>
          </w:tcPr>
          <w:p w:rsidR="008C5E99" w:rsidRDefault="008C5E99" w:rsidP="00083749">
            <w:pPr>
              <w:jc w:val="both"/>
            </w:pPr>
            <w:r>
              <w:t>Rozmiar matrycy min 23</w:t>
            </w:r>
            <w:r w:rsidRPr="00A220F6">
              <w:t>” max.</w:t>
            </w:r>
            <w:r>
              <w:t xml:space="preserve"> </w:t>
            </w:r>
            <w:r w:rsidRPr="00A220F6">
              <w:t xml:space="preserve">24”, WVA lub IPS, rozdzielczość obsługiwana co najmniej FHD 1920x1080 z matrycą antyrefleksyjną lub matową. Nie dopuszcza się matrycy lustrzanej, podświetlenie LED, format 16:9. Kontrast min </w:t>
            </w:r>
            <w:r>
              <w:t>70</w:t>
            </w:r>
            <w:r w:rsidRPr="00A220F6">
              <w:t>0:1,</w:t>
            </w:r>
            <w:r>
              <w:t xml:space="preserve"> z obsługą lub bez obsługi dotyku</w:t>
            </w:r>
            <w:r w:rsidRPr="00A220F6">
              <w:t>.</w:t>
            </w:r>
          </w:p>
        </w:tc>
        <w:tc>
          <w:tcPr>
            <w:tcW w:w="1884" w:type="dxa"/>
          </w:tcPr>
          <w:p w:rsidR="008C5E99" w:rsidRDefault="008C5E99" w:rsidP="00083749">
            <w:pPr>
              <w:jc w:val="both"/>
            </w:pPr>
          </w:p>
        </w:tc>
      </w:tr>
      <w:tr w:rsidR="008C5E99" w:rsidTr="008C5E99">
        <w:tc>
          <w:tcPr>
            <w:tcW w:w="513" w:type="dxa"/>
          </w:tcPr>
          <w:p w:rsidR="008C5E99" w:rsidRDefault="008C5E99" w:rsidP="00694C66">
            <w:pPr>
              <w:jc w:val="right"/>
            </w:pPr>
            <w:r>
              <w:t>5.</w:t>
            </w:r>
          </w:p>
        </w:tc>
        <w:tc>
          <w:tcPr>
            <w:tcW w:w="1736" w:type="dxa"/>
          </w:tcPr>
          <w:p w:rsidR="008C5E99" w:rsidRDefault="008C5E99">
            <w:r>
              <w:t>Procesor</w:t>
            </w:r>
          </w:p>
        </w:tc>
        <w:tc>
          <w:tcPr>
            <w:tcW w:w="4929" w:type="dxa"/>
          </w:tcPr>
          <w:p w:rsidR="008C5E99" w:rsidRDefault="008C5E99" w:rsidP="00083749">
            <w:pPr>
              <w:jc w:val="both"/>
            </w:pPr>
            <w:r>
              <w:t>D</w:t>
            </w:r>
            <w:r w:rsidRPr="00A220F6">
              <w:t xml:space="preserve">edykowany do pracy w komputerach stacjonarnych. Wydajność procesora wynosząca minimum </w:t>
            </w:r>
            <w:r>
              <w:t>1075</w:t>
            </w:r>
            <w:r w:rsidRPr="00A220F6">
              <w:t xml:space="preserve">0 pkt w teście </w:t>
            </w:r>
            <w:proofErr w:type="spellStart"/>
            <w:r w:rsidRPr="00A220F6">
              <w:t>PassMark</w:t>
            </w:r>
            <w:proofErr w:type="spellEnd"/>
            <w:r w:rsidRPr="00A220F6">
              <w:t xml:space="preserve"> w kategorii CPU Mark </w:t>
            </w:r>
            <w:proofErr w:type="spellStart"/>
            <w:r w:rsidRPr="00A220F6">
              <w:t>Average</w:t>
            </w:r>
            <w:proofErr w:type="spellEnd"/>
            <w:r w:rsidRPr="00A220F6">
              <w:t xml:space="preserve">. Wynik dostępny na stronie: </w:t>
            </w:r>
            <w:hyperlink r:id="rId7" w:history="1">
              <w:r w:rsidRPr="002C3462">
                <w:rPr>
                  <w:rStyle w:val="Hipercze"/>
                </w:rPr>
                <w:t>https://www.cpubenchmark.net/cpu_list.php</w:t>
              </w:r>
            </w:hyperlink>
            <w:r>
              <w:t>. Do oferty załączyć wydruk ze strony potwierdzający spełnienie wymagania.</w:t>
            </w:r>
          </w:p>
        </w:tc>
        <w:tc>
          <w:tcPr>
            <w:tcW w:w="1884" w:type="dxa"/>
          </w:tcPr>
          <w:p w:rsidR="008C5E99" w:rsidRDefault="008C5E99" w:rsidP="00083749">
            <w:pPr>
              <w:jc w:val="both"/>
            </w:pPr>
          </w:p>
        </w:tc>
      </w:tr>
      <w:tr w:rsidR="008C5E99" w:rsidTr="008C5E99">
        <w:trPr>
          <w:trHeight w:val="1485"/>
        </w:trPr>
        <w:tc>
          <w:tcPr>
            <w:tcW w:w="513" w:type="dxa"/>
          </w:tcPr>
          <w:p w:rsidR="008C5E99" w:rsidRDefault="008C5E99" w:rsidP="00694C66">
            <w:pPr>
              <w:jc w:val="right"/>
            </w:pPr>
            <w:r>
              <w:t>6.</w:t>
            </w:r>
          </w:p>
        </w:tc>
        <w:tc>
          <w:tcPr>
            <w:tcW w:w="1736" w:type="dxa"/>
          </w:tcPr>
          <w:p w:rsidR="008C5E99" w:rsidRDefault="008C5E99">
            <w:r>
              <w:t>Płyta główna</w:t>
            </w:r>
          </w:p>
        </w:tc>
        <w:tc>
          <w:tcPr>
            <w:tcW w:w="4929" w:type="dxa"/>
          </w:tcPr>
          <w:p w:rsidR="008C5E99" w:rsidRDefault="008C5E99" w:rsidP="00083749">
            <w:pPr>
              <w:pStyle w:val="Akapitzlist"/>
              <w:numPr>
                <w:ilvl w:val="0"/>
                <w:numId w:val="4"/>
              </w:numPr>
              <w:jc w:val="both"/>
            </w:pPr>
            <w:r>
              <w:t>wyposażona w: min. 2 złącza SO DIMM z obsługą do 64GB DDR4 pamięci RAM,</w:t>
            </w:r>
          </w:p>
          <w:p w:rsidR="008C5E99" w:rsidRDefault="008C5E99" w:rsidP="00083749">
            <w:pPr>
              <w:pStyle w:val="Akapitzlist"/>
              <w:numPr>
                <w:ilvl w:val="0"/>
                <w:numId w:val="4"/>
              </w:numPr>
              <w:jc w:val="both"/>
            </w:pPr>
            <w:r>
              <w:t>Przynajmniej jedno złącze z obsługą protokołu SATA.</w:t>
            </w:r>
          </w:p>
          <w:p w:rsidR="008C5E99" w:rsidRDefault="008C5E99" w:rsidP="00083749">
            <w:pPr>
              <w:pStyle w:val="Akapitzlist"/>
              <w:numPr>
                <w:ilvl w:val="0"/>
                <w:numId w:val="4"/>
              </w:numPr>
              <w:jc w:val="both"/>
            </w:pPr>
            <w:r>
              <w:t>Złącze M.2 dla dysków.</w:t>
            </w:r>
          </w:p>
        </w:tc>
        <w:tc>
          <w:tcPr>
            <w:tcW w:w="1884" w:type="dxa"/>
          </w:tcPr>
          <w:p w:rsidR="008C5E99" w:rsidRDefault="008C5E99" w:rsidP="008C5E99">
            <w:pPr>
              <w:jc w:val="both"/>
            </w:pPr>
          </w:p>
        </w:tc>
      </w:tr>
      <w:tr w:rsidR="008C5E99" w:rsidTr="008C5E99">
        <w:tc>
          <w:tcPr>
            <w:tcW w:w="513" w:type="dxa"/>
          </w:tcPr>
          <w:p w:rsidR="008C5E99" w:rsidRDefault="008C5E99" w:rsidP="00694C66">
            <w:pPr>
              <w:jc w:val="right"/>
            </w:pPr>
            <w:r>
              <w:t>7.</w:t>
            </w:r>
          </w:p>
        </w:tc>
        <w:tc>
          <w:tcPr>
            <w:tcW w:w="1736" w:type="dxa"/>
          </w:tcPr>
          <w:p w:rsidR="008C5E99" w:rsidRDefault="008C5E99">
            <w:r>
              <w:t>Pamięć operacyjna</w:t>
            </w:r>
          </w:p>
        </w:tc>
        <w:tc>
          <w:tcPr>
            <w:tcW w:w="4929" w:type="dxa"/>
          </w:tcPr>
          <w:p w:rsidR="008C5E99" w:rsidRDefault="008C5E99" w:rsidP="00083749">
            <w:pPr>
              <w:jc w:val="both"/>
            </w:pPr>
            <w:r w:rsidRPr="00694C66">
              <w:t>8 GB DDR-4 z możliwością rozbudowy do min. 32GB, jeden slot wolny</w:t>
            </w:r>
          </w:p>
        </w:tc>
        <w:tc>
          <w:tcPr>
            <w:tcW w:w="1884" w:type="dxa"/>
          </w:tcPr>
          <w:p w:rsidR="008C5E99" w:rsidRPr="00694C66" w:rsidRDefault="008C5E99" w:rsidP="00083749">
            <w:pPr>
              <w:jc w:val="both"/>
            </w:pPr>
          </w:p>
        </w:tc>
      </w:tr>
      <w:tr w:rsidR="008C5E99" w:rsidTr="008C5E99">
        <w:tc>
          <w:tcPr>
            <w:tcW w:w="513" w:type="dxa"/>
          </w:tcPr>
          <w:p w:rsidR="008C5E99" w:rsidRDefault="008C5E99" w:rsidP="00694C66">
            <w:pPr>
              <w:jc w:val="right"/>
            </w:pPr>
            <w:r>
              <w:t>8.</w:t>
            </w:r>
          </w:p>
        </w:tc>
        <w:tc>
          <w:tcPr>
            <w:tcW w:w="1736" w:type="dxa"/>
          </w:tcPr>
          <w:p w:rsidR="008C5E99" w:rsidRDefault="008C5E99">
            <w:r>
              <w:t>BIOS</w:t>
            </w:r>
          </w:p>
        </w:tc>
        <w:tc>
          <w:tcPr>
            <w:tcW w:w="4929" w:type="dxa"/>
          </w:tcPr>
          <w:p w:rsidR="008C5E99" w:rsidRDefault="008C5E99" w:rsidP="00083749">
            <w:pPr>
              <w:jc w:val="both"/>
            </w:pPr>
            <w:r>
              <w:t>Dostępna funkcjonalność:</w:t>
            </w:r>
          </w:p>
          <w:p w:rsidR="008C5E99" w:rsidRDefault="008C5E99" w:rsidP="00083749">
            <w:pPr>
              <w:pStyle w:val="Akapitzlist"/>
              <w:numPr>
                <w:ilvl w:val="0"/>
                <w:numId w:val="6"/>
              </w:numPr>
              <w:jc w:val="both"/>
            </w:pPr>
            <w:r>
              <w:t>założenie haseł użytkownika i administratora,</w:t>
            </w:r>
          </w:p>
          <w:p w:rsidR="008C5E99" w:rsidRDefault="008C5E99" w:rsidP="00083749">
            <w:pPr>
              <w:pStyle w:val="Akapitzlist"/>
              <w:numPr>
                <w:ilvl w:val="0"/>
                <w:numId w:val="6"/>
              </w:numPr>
              <w:jc w:val="both"/>
            </w:pPr>
            <w:r>
              <w:lastRenderedPageBreak/>
              <w:t>wyłączenie portów USB, karty dźwiękowej i sieciowej,</w:t>
            </w:r>
          </w:p>
          <w:p w:rsidR="008C5E99" w:rsidRDefault="008C5E99" w:rsidP="00083749">
            <w:pPr>
              <w:pStyle w:val="Akapitzlist"/>
              <w:numPr>
                <w:ilvl w:val="0"/>
                <w:numId w:val="6"/>
              </w:numPr>
              <w:jc w:val="both"/>
            </w:pPr>
            <w:r>
              <w:t xml:space="preserve">wyłączenie trybu </w:t>
            </w:r>
            <w:proofErr w:type="spellStart"/>
            <w:r>
              <w:t>bootowania</w:t>
            </w:r>
            <w:proofErr w:type="spellEnd"/>
            <w:r>
              <w:t xml:space="preserve"> dla urządzeń podłączanych do USB,</w:t>
            </w:r>
          </w:p>
          <w:p w:rsidR="008C5E99" w:rsidRDefault="008C5E99" w:rsidP="00083749">
            <w:pPr>
              <w:pStyle w:val="Akapitzlist"/>
              <w:numPr>
                <w:ilvl w:val="0"/>
                <w:numId w:val="6"/>
              </w:numPr>
              <w:jc w:val="both"/>
            </w:pPr>
            <w:r>
              <w:t xml:space="preserve">funkcja blokowania / odblokowania </w:t>
            </w:r>
            <w:proofErr w:type="spellStart"/>
            <w:r>
              <w:t>bootowania</w:t>
            </w:r>
            <w:proofErr w:type="spellEnd"/>
            <w:r>
              <w:t xml:space="preserve"> komputera z zewnętrznych urządzeń,</w:t>
            </w:r>
          </w:p>
          <w:p w:rsidR="008C5E99" w:rsidRDefault="008C5E99" w:rsidP="00083749">
            <w:pPr>
              <w:pStyle w:val="Akapitzlist"/>
              <w:numPr>
                <w:ilvl w:val="0"/>
                <w:numId w:val="6"/>
              </w:numPr>
              <w:jc w:val="both"/>
            </w:pPr>
            <w:r>
              <w:t>odczytanie (bez konieczności uruchamiania systemu operacyjnego z dysku twardego komputera lub innych, podłączonych do niego urządzeń, zewnętrznych) min. następujących informacji: wersja BIOS, typ procesora, ilość pamięci RAM wraz z podziałem na obsadzenie w slotach, nr seryjny komputera wraz z datą jego wyprodukowania lub formowania BIOS.</w:t>
            </w:r>
          </w:p>
        </w:tc>
        <w:tc>
          <w:tcPr>
            <w:tcW w:w="1884" w:type="dxa"/>
          </w:tcPr>
          <w:p w:rsidR="008C5E99" w:rsidRDefault="008C5E99" w:rsidP="00083749">
            <w:pPr>
              <w:jc w:val="both"/>
            </w:pPr>
          </w:p>
        </w:tc>
      </w:tr>
      <w:tr w:rsidR="008C5E99" w:rsidTr="008C5E99">
        <w:tc>
          <w:tcPr>
            <w:tcW w:w="513" w:type="dxa"/>
          </w:tcPr>
          <w:p w:rsidR="008C5E99" w:rsidRDefault="008C5E99" w:rsidP="00694C66">
            <w:pPr>
              <w:jc w:val="right"/>
            </w:pPr>
            <w:r>
              <w:t>9.</w:t>
            </w:r>
          </w:p>
        </w:tc>
        <w:tc>
          <w:tcPr>
            <w:tcW w:w="1736" w:type="dxa"/>
          </w:tcPr>
          <w:p w:rsidR="008C5E99" w:rsidRDefault="008C5E99">
            <w:r>
              <w:t>Bezpieczeństwo</w:t>
            </w:r>
          </w:p>
        </w:tc>
        <w:tc>
          <w:tcPr>
            <w:tcW w:w="4929" w:type="dxa"/>
          </w:tcPr>
          <w:p w:rsidR="008C5E99" w:rsidRDefault="008C5E99" w:rsidP="00083749">
            <w:pPr>
              <w:jc w:val="both"/>
            </w:pPr>
            <w:r w:rsidRPr="00694C66">
              <w:t>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w:t>
            </w:r>
          </w:p>
        </w:tc>
        <w:tc>
          <w:tcPr>
            <w:tcW w:w="1884" w:type="dxa"/>
          </w:tcPr>
          <w:p w:rsidR="008C5E99" w:rsidRPr="00694C66" w:rsidRDefault="008C5E99" w:rsidP="00083749">
            <w:pPr>
              <w:jc w:val="both"/>
            </w:pPr>
          </w:p>
        </w:tc>
      </w:tr>
      <w:tr w:rsidR="008C5E99" w:rsidTr="008C5E99">
        <w:tc>
          <w:tcPr>
            <w:tcW w:w="513" w:type="dxa"/>
          </w:tcPr>
          <w:p w:rsidR="008C5E99" w:rsidRDefault="008C5E99" w:rsidP="00694C66">
            <w:pPr>
              <w:jc w:val="right"/>
            </w:pPr>
            <w:r>
              <w:t>10.</w:t>
            </w:r>
          </w:p>
        </w:tc>
        <w:tc>
          <w:tcPr>
            <w:tcW w:w="1736" w:type="dxa"/>
          </w:tcPr>
          <w:p w:rsidR="008C5E99" w:rsidRDefault="008C5E99">
            <w:r>
              <w:t>Dysk twardy</w:t>
            </w:r>
          </w:p>
        </w:tc>
        <w:tc>
          <w:tcPr>
            <w:tcW w:w="4929" w:type="dxa"/>
          </w:tcPr>
          <w:p w:rsidR="008C5E99" w:rsidRDefault="008C5E99">
            <w:r>
              <w:t>SSD 256 GB</w:t>
            </w:r>
          </w:p>
        </w:tc>
        <w:tc>
          <w:tcPr>
            <w:tcW w:w="1884" w:type="dxa"/>
          </w:tcPr>
          <w:p w:rsidR="008C5E99" w:rsidRDefault="008C5E99"/>
        </w:tc>
      </w:tr>
      <w:tr w:rsidR="008C5E99" w:rsidTr="008C5E99">
        <w:tc>
          <w:tcPr>
            <w:tcW w:w="513" w:type="dxa"/>
          </w:tcPr>
          <w:p w:rsidR="008C5E99" w:rsidRDefault="008C5E99" w:rsidP="00694C66">
            <w:pPr>
              <w:jc w:val="right"/>
            </w:pPr>
            <w:r>
              <w:t>11.</w:t>
            </w:r>
          </w:p>
        </w:tc>
        <w:tc>
          <w:tcPr>
            <w:tcW w:w="1736" w:type="dxa"/>
          </w:tcPr>
          <w:p w:rsidR="008C5E99" w:rsidRDefault="008C5E99">
            <w:r>
              <w:t>Karta graficzna</w:t>
            </w:r>
          </w:p>
        </w:tc>
        <w:tc>
          <w:tcPr>
            <w:tcW w:w="4929" w:type="dxa"/>
          </w:tcPr>
          <w:p w:rsidR="008C5E99" w:rsidRDefault="008C5E99">
            <w:r>
              <w:t>Zintegrowana</w:t>
            </w:r>
          </w:p>
        </w:tc>
        <w:tc>
          <w:tcPr>
            <w:tcW w:w="1884" w:type="dxa"/>
          </w:tcPr>
          <w:p w:rsidR="008C5E99" w:rsidRDefault="008C5E99"/>
        </w:tc>
      </w:tr>
      <w:tr w:rsidR="008C5E99" w:rsidTr="008C5E99">
        <w:tc>
          <w:tcPr>
            <w:tcW w:w="513" w:type="dxa"/>
          </w:tcPr>
          <w:p w:rsidR="008C5E99" w:rsidRDefault="008C5E99" w:rsidP="00694C66">
            <w:pPr>
              <w:jc w:val="right"/>
            </w:pPr>
            <w:r>
              <w:t>12.</w:t>
            </w:r>
          </w:p>
        </w:tc>
        <w:tc>
          <w:tcPr>
            <w:tcW w:w="1736" w:type="dxa"/>
          </w:tcPr>
          <w:p w:rsidR="008C5E99" w:rsidRDefault="008C5E99">
            <w:r>
              <w:t>Karta dźwiękowa</w:t>
            </w:r>
          </w:p>
        </w:tc>
        <w:tc>
          <w:tcPr>
            <w:tcW w:w="4929" w:type="dxa"/>
          </w:tcPr>
          <w:p w:rsidR="008C5E99" w:rsidRDefault="008C5E99" w:rsidP="007832D4">
            <w:pPr>
              <w:jc w:val="both"/>
            </w:pPr>
            <w:r w:rsidRPr="00694C66">
              <w:t>zintegrowana z płytą gł</w:t>
            </w:r>
            <w:r>
              <w:t>ówną, zgodna z High Definition</w:t>
            </w:r>
            <w:r w:rsidRPr="00694C66">
              <w:t>, wbudowane głośniki stereo o mocy 2W. Port słuchawek i mikrofonu na bocznej krawędzi obudowy, dopuszcza się rozwiązanie port combo, na tylnym panelu min. wyjście audio.</w:t>
            </w:r>
          </w:p>
          <w:p w:rsidR="008C5E99" w:rsidRDefault="008C5E99" w:rsidP="007832D4">
            <w:pPr>
              <w:jc w:val="both"/>
            </w:pPr>
            <w:r>
              <w:t>Wbudowany mikrofon.</w:t>
            </w:r>
          </w:p>
        </w:tc>
        <w:tc>
          <w:tcPr>
            <w:tcW w:w="1884" w:type="dxa"/>
          </w:tcPr>
          <w:p w:rsidR="008C5E99" w:rsidRPr="00694C66" w:rsidRDefault="008C5E99" w:rsidP="007832D4">
            <w:pPr>
              <w:jc w:val="both"/>
            </w:pPr>
          </w:p>
        </w:tc>
      </w:tr>
      <w:tr w:rsidR="008C5E99" w:rsidTr="008C5E99">
        <w:tc>
          <w:tcPr>
            <w:tcW w:w="513" w:type="dxa"/>
          </w:tcPr>
          <w:p w:rsidR="008C5E99" w:rsidRDefault="008C5E99" w:rsidP="00694C66">
            <w:pPr>
              <w:jc w:val="right"/>
            </w:pPr>
            <w:r>
              <w:t>13.</w:t>
            </w:r>
          </w:p>
        </w:tc>
        <w:tc>
          <w:tcPr>
            <w:tcW w:w="1736" w:type="dxa"/>
          </w:tcPr>
          <w:p w:rsidR="008C5E99" w:rsidRDefault="008C5E99">
            <w:r>
              <w:t>Karta sieciowa</w:t>
            </w:r>
          </w:p>
        </w:tc>
        <w:tc>
          <w:tcPr>
            <w:tcW w:w="4929" w:type="dxa"/>
          </w:tcPr>
          <w:p w:rsidR="008C5E99" w:rsidRDefault="008C5E99" w:rsidP="00083749">
            <w:pPr>
              <w:pStyle w:val="Akapitzlist"/>
              <w:numPr>
                <w:ilvl w:val="0"/>
                <w:numId w:val="7"/>
              </w:numPr>
              <w:jc w:val="both"/>
            </w:pPr>
            <w:r w:rsidRPr="00694C66">
              <w:t>zintegrowana z płytą główną, Gigabit Ethernet, RJ-45</w:t>
            </w:r>
          </w:p>
          <w:p w:rsidR="008C5E99" w:rsidRDefault="008C5E99" w:rsidP="00083749">
            <w:pPr>
              <w:pStyle w:val="Akapitzlist"/>
              <w:numPr>
                <w:ilvl w:val="0"/>
                <w:numId w:val="7"/>
              </w:numPr>
              <w:jc w:val="both"/>
            </w:pPr>
            <w:r>
              <w:t>bezprzewodowa karta sieciowa zgodna ze standardem 802.11ac i Bluetooth 5</w:t>
            </w:r>
          </w:p>
        </w:tc>
        <w:tc>
          <w:tcPr>
            <w:tcW w:w="1884" w:type="dxa"/>
          </w:tcPr>
          <w:p w:rsidR="008C5E99" w:rsidRPr="00694C66" w:rsidRDefault="008C5E99" w:rsidP="008C5E99">
            <w:pPr>
              <w:jc w:val="both"/>
            </w:pPr>
          </w:p>
        </w:tc>
      </w:tr>
      <w:tr w:rsidR="008C5E99" w:rsidTr="008C5E99">
        <w:tc>
          <w:tcPr>
            <w:tcW w:w="513" w:type="dxa"/>
          </w:tcPr>
          <w:p w:rsidR="008C5E99" w:rsidRDefault="008C5E99" w:rsidP="00694C66">
            <w:pPr>
              <w:jc w:val="right"/>
            </w:pPr>
            <w:r>
              <w:t>14.</w:t>
            </w:r>
          </w:p>
        </w:tc>
        <w:tc>
          <w:tcPr>
            <w:tcW w:w="1736" w:type="dxa"/>
          </w:tcPr>
          <w:p w:rsidR="008C5E99" w:rsidRDefault="008C5E99">
            <w:r>
              <w:t>Wymagania dodatkowe</w:t>
            </w:r>
          </w:p>
        </w:tc>
        <w:tc>
          <w:tcPr>
            <w:tcW w:w="4929" w:type="dxa"/>
          </w:tcPr>
          <w:p w:rsidR="008C5E99" w:rsidRDefault="008C5E99" w:rsidP="00083749">
            <w:pPr>
              <w:jc w:val="both"/>
            </w:pPr>
            <w:r>
              <w:t>6 portów USB wyprowadzonych na zewnątrz, w układzie: krawędź boczna: 1 x USB 3.1 Typu A oraz 1 x USB 3.1 Typu C; Panel tylny: 2 x USB 3.1 Typu A oraz 2 x USB 2.0. Nie dopuszcza się, aby porty USB były umieszczone na dolnej oraz górnej krawędzi obudowy (dłuższy bok obudowy).</w:t>
            </w:r>
          </w:p>
          <w:p w:rsidR="008C5E99" w:rsidRDefault="008C5E99" w:rsidP="00083749">
            <w:pPr>
              <w:jc w:val="both"/>
            </w:pPr>
            <w:r>
              <w:t>- wymagana ilość i rozmieszczenie portów USB nie może być osiągnięta w wyniku stosowania konwerterów, przejściówek itp.</w:t>
            </w:r>
          </w:p>
          <w:p w:rsidR="008C5E99" w:rsidRDefault="008C5E99" w:rsidP="00083749">
            <w:pPr>
              <w:jc w:val="both"/>
            </w:pPr>
            <w:r>
              <w:t xml:space="preserve">1 x </w:t>
            </w:r>
            <w:proofErr w:type="spellStart"/>
            <w:r>
              <w:t>DisplayPort</w:t>
            </w:r>
            <w:proofErr w:type="spellEnd"/>
            <w:r>
              <w:t>.</w:t>
            </w:r>
          </w:p>
          <w:p w:rsidR="008C5E99" w:rsidRDefault="008C5E99" w:rsidP="00083749">
            <w:pPr>
              <w:jc w:val="both"/>
            </w:pPr>
            <w:r>
              <w:t>Kamera: rozdzielczość 2,0 megapikseli, zintegrowana trwale z obudową.</w:t>
            </w:r>
          </w:p>
          <w:p w:rsidR="008C5E99" w:rsidRDefault="008C5E99" w:rsidP="00083749">
            <w:pPr>
              <w:jc w:val="both"/>
            </w:pPr>
            <w:r>
              <w:t>Czytnik kart SD, klawiatura i mysz USB.</w:t>
            </w:r>
          </w:p>
        </w:tc>
        <w:tc>
          <w:tcPr>
            <w:tcW w:w="1884" w:type="dxa"/>
          </w:tcPr>
          <w:p w:rsidR="008C5E99" w:rsidRDefault="008C5E99" w:rsidP="00083749">
            <w:pPr>
              <w:jc w:val="both"/>
            </w:pPr>
          </w:p>
        </w:tc>
      </w:tr>
      <w:tr w:rsidR="008C5E99" w:rsidTr="008C5E99">
        <w:tc>
          <w:tcPr>
            <w:tcW w:w="513" w:type="dxa"/>
          </w:tcPr>
          <w:p w:rsidR="008C5E99" w:rsidRDefault="008C5E99" w:rsidP="00694C66">
            <w:pPr>
              <w:jc w:val="right"/>
            </w:pPr>
            <w:r>
              <w:t>15.</w:t>
            </w:r>
          </w:p>
        </w:tc>
        <w:tc>
          <w:tcPr>
            <w:tcW w:w="1736" w:type="dxa"/>
          </w:tcPr>
          <w:p w:rsidR="008C5E99" w:rsidRDefault="008C5E99">
            <w:r>
              <w:t>Zasilacz</w:t>
            </w:r>
          </w:p>
        </w:tc>
        <w:tc>
          <w:tcPr>
            <w:tcW w:w="4929" w:type="dxa"/>
          </w:tcPr>
          <w:p w:rsidR="008C5E99" w:rsidRDefault="008C5E99" w:rsidP="00083749">
            <w:pPr>
              <w:tabs>
                <w:tab w:val="left" w:pos="1035"/>
              </w:tabs>
              <w:jc w:val="both"/>
            </w:pPr>
            <w:r w:rsidRPr="00694C66">
              <w:t>Wewnętrzny zasilacz o mocy max. 155W pracujący w sieci 230V 50/60Hz prądu zmiennego i efektywności min. 85% przy obciążeniu zasilacza na poziomie 50%.</w:t>
            </w:r>
          </w:p>
        </w:tc>
        <w:tc>
          <w:tcPr>
            <w:tcW w:w="1884" w:type="dxa"/>
          </w:tcPr>
          <w:p w:rsidR="008C5E99" w:rsidRPr="00694C66" w:rsidRDefault="008C5E99" w:rsidP="00083749">
            <w:pPr>
              <w:tabs>
                <w:tab w:val="left" w:pos="1035"/>
              </w:tabs>
              <w:jc w:val="both"/>
            </w:pPr>
          </w:p>
        </w:tc>
      </w:tr>
      <w:tr w:rsidR="008C5E99" w:rsidTr="008C5E99">
        <w:tc>
          <w:tcPr>
            <w:tcW w:w="513" w:type="dxa"/>
          </w:tcPr>
          <w:p w:rsidR="008C5E99" w:rsidRDefault="008C5E99" w:rsidP="00694C66">
            <w:pPr>
              <w:jc w:val="right"/>
            </w:pPr>
            <w:r>
              <w:lastRenderedPageBreak/>
              <w:t>16.</w:t>
            </w:r>
          </w:p>
        </w:tc>
        <w:tc>
          <w:tcPr>
            <w:tcW w:w="1736" w:type="dxa"/>
          </w:tcPr>
          <w:p w:rsidR="008C5E99" w:rsidRDefault="008C5E99">
            <w:r>
              <w:t>System operacyjny</w:t>
            </w:r>
          </w:p>
        </w:tc>
        <w:tc>
          <w:tcPr>
            <w:tcW w:w="4929" w:type="dxa"/>
          </w:tcPr>
          <w:p w:rsidR="008C5E99" w:rsidRDefault="008C5E99" w:rsidP="00083749">
            <w:pPr>
              <w:jc w:val="both"/>
            </w:pPr>
            <w:r w:rsidRPr="00694C66">
              <w:t xml:space="preserve">Zainstalowany system operacyjny Windows 10 Professional, klucz licencyjny Windows 10 Professional musi być zapisany trwale w BIOS i umożliwiać </w:t>
            </w:r>
            <w:proofErr w:type="spellStart"/>
            <w:r w:rsidRPr="00694C66">
              <w:t>reinstalację</w:t>
            </w:r>
            <w:proofErr w:type="spellEnd"/>
            <w:r w:rsidRPr="00694C66">
              <w:t xml:space="preserve"> systemu operacyjnego bez potrzeby ręcznego wpisywania klucza licencyjnego.</w:t>
            </w:r>
          </w:p>
        </w:tc>
        <w:tc>
          <w:tcPr>
            <w:tcW w:w="1884" w:type="dxa"/>
          </w:tcPr>
          <w:p w:rsidR="008C5E99" w:rsidRPr="00694C66" w:rsidRDefault="008C5E99" w:rsidP="00083749">
            <w:pPr>
              <w:jc w:val="both"/>
            </w:pPr>
          </w:p>
        </w:tc>
      </w:tr>
      <w:tr w:rsidR="008C5E99" w:rsidTr="008C5E99">
        <w:tc>
          <w:tcPr>
            <w:tcW w:w="513" w:type="dxa"/>
          </w:tcPr>
          <w:p w:rsidR="008C5E99" w:rsidRDefault="008C5E99" w:rsidP="00694C66">
            <w:pPr>
              <w:jc w:val="right"/>
            </w:pPr>
            <w:r>
              <w:t>17.</w:t>
            </w:r>
          </w:p>
        </w:tc>
        <w:tc>
          <w:tcPr>
            <w:tcW w:w="1736" w:type="dxa"/>
          </w:tcPr>
          <w:p w:rsidR="008C5E99" w:rsidRDefault="008C5E99">
            <w:r>
              <w:t>Certyfikaty</w:t>
            </w:r>
          </w:p>
        </w:tc>
        <w:tc>
          <w:tcPr>
            <w:tcW w:w="4929" w:type="dxa"/>
          </w:tcPr>
          <w:p w:rsidR="008C5E99" w:rsidRDefault="008C5E99" w:rsidP="00DA4C79">
            <w:pPr>
              <w:jc w:val="both"/>
            </w:pPr>
            <w:r>
              <w:t>Certyfikat ISO 9001 dla producenta sprzętu (załączyć do oferty).</w:t>
            </w:r>
          </w:p>
          <w:p w:rsidR="008C5E99" w:rsidRDefault="008C5E99" w:rsidP="00DA4C79">
            <w:pPr>
              <w:jc w:val="both"/>
            </w:pPr>
            <w:r>
              <w:t>Certyfikat ISO 14001 dla producenta sprzętu (załączyć do oferty).</w:t>
            </w:r>
          </w:p>
          <w:p w:rsidR="008C5E99" w:rsidRDefault="008C5E99" w:rsidP="00DA4C79">
            <w:pPr>
              <w:jc w:val="both"/>
            </w:pPr>
            <w:r>
              <w:t>Deklaracja zgodności CE (załączyć do oferty).</w:t>
            </w:r>
          </w:p>
          <w:p w:rsidR="008C5E99" w:rsidRPr="00694C66" w:rsidRDefault="008C5E99" w:rsidP="00DA4C79">
            <w:pPr>
              <w:jc w:val="both"/>
            </w:pPr>
            <w:r>
              <w:t xml:space="preserve">Potwierdzenie spełnienia kryteriów środowiskowych, w tym zgodności z dyrektywą </w:t>
            </w:r>
            <w:proofErr w:type="spellStart"/>
            <w:r>
              <w:t>RoHS</w:t>
            </w:r>
            <w:proofErr w:type="spellEnd"/>
            <w:r>
              <w:t xml:space="preserve"> Unii Europejskiej o eliminacji substancji niebezpiecznych w postaci oświadczenia producenta – dostarczyć na żądanie.</w:t>
            </w:r>
          </w:p>
        </w:tc>
        <w:tc>
          <w:tcPr>
            <w:tcW w:w="1884" w:type="dxa"/>
          </w:tcPr>
          <w:p w:rsidR="008C5E99" w:rsidRDefault="008C5E99" w:rsidP="00DA4C79">
            <w:pPr>
              <w:jc w:val="both"/>
            </w:pPr>
          </w:p>
        </w:tc>
      </w:tr>
      <w:tr w:rsidR="008C5E99" w:rsidTr="008C5E99">
        <w:tc>
          <w:tcPr>
            <w:tcW w:w="513" w:type="dxa"/>
          </w:tcPr>
          <w:p w:rsidR="008C5E99" w:rsidRDefault="008C5E99" w:rsidP="00694C66">
            <w:pPr>
              <w:jc w:val="right"/>
            </w:pPr>
            <w:r>
              <w:t>18.</w:t>
            </w:r>
          </w:p>
        </w:tc>
        <w:tc>
          <w:tcPr>
            <w:tcW w:w="1736" w:type="dxa"/>
          </w:tcPr>
          <w:p w:rsidR="008C5E99" w:rsidRDefault="008C5E99">
            <w:r>
              <w:t>Gwarancja</w:t>
            </w:r>
          </w:p>
        </w:tc>
        <w:tc>
          <w:tcPr>
            <w:tcW w:w="4929" w:type="dxa"/>
          </w:tcPr>
          <w:p w:rsidR="008C5E99" w:rsidRDefault="008C5E99" w:rsidP="00083749">
            <w:pPr>
              <w:jc w:val="both"/>
            </w:pPr>
            <w:r>
              <w:t xml:space="preserve">Minimum 3-letnia gwarancja producenta świadczona na miejscu instalacji. Czas reakcji serwisu - do 2 dni roboczych od przyjęcia zgłoszenia serwisowego. </w:t>
            </w:r>
            <w:r w:rsidRPr="0072150B">
              <w:t>Nośniki danych w przypadku ich uszkodzenia oraz konieczności naprawy urządzenia poza miejscem instalacji pozostają u Zamawiającego. Koszt wymiany uszkodzonych nośników na nowe obciąża Wykonawcę.</w:t>
            </w:r>
            <w:r>
              <w:t xml:space="preserve">  Dedykowany portal producenta do zgłaszania awarii lub usterek, możliwość samodzielnego zamawiania zamiennych komponentów oraz sprawdzenie okresu gwarancji, fabrycznej konfiguracji.</w:t>
            </w:r>
          </w:p>
          <w:p w:rsidR="008C5E99" w:rsidRDefault="008C5E99" w:rsidP="00083749">
            <w:pPr>
              <w:jc w:val="both"/>
            </w:pPr>
            <w:r>
              <w:t>Firma serwisująca musi posiadać ISO 9001: 2000 na świadczenie usług serwisowych oraz posiadać autoryzacje producenta komputera.</w:t>
            </w:r>
          </w:p>
          <w:p w:rsidR="008C5E99" w:rsidRPr="00694C66" w:rsidRDefault="008C5E99" w:rsidP="00083749">
            <w:pPr>
              <w:jc w:val="both"/>
            </w:pPr>
            <w:r>
              <w:t>Oświadczenie producenta, że w przypadku nie wywiązywania się z obowiązków gwarancyjnych oferenta lub firmy serwisującej, przejmie na siebie wszelkie zobowiązania związane z serwisem - dokument potwierdzające załączyć do oferty</w:t>
            </w:r>
          </w:p>
        </w:tc>
        <w:tc>
          <w:tcPr>
            <w:tcW w:w="1884" w:type="dxa"/>
          </w:tcPr>
          <w:p w:rsidR="008C5E99" w:rsidRDefault="008C5E99" w:rsidP="00083749">
            <w:pPr>
              <w:jc w:val="both"/>
            </w:pPr>
          </w:p>
        </w:tc>
      </w:tr>
      <w:tr w:rsidR="008C5E99" w:rsidRPr="002B239F" w:rsidTr="008C5E99">
        <w:tc>
          <w:tcPr>
            <w:tcW w:w="513" w:type="dxa"/>
          </w:tcPr>
          <w:p w:rsidR="008C5E99" w:rsidRDefault="008C5E99" w:rsidP="00694C66">
            <w:pPr>
              <w:jc w:val="right"/>
            </w:pPr>
            <w:r>
              <w:t>19.</w:t>
            </w:r>
          </w:p>
        </w:tc>
        <w:tc>
          <w:tcPr>
            <w:tcW w:w="1736" w:type="dxa"/>
          </w:tcPr>
          <w:p w:rsidR="008C5E99" w:rsidRDefault="008C5E99">
            <w:r>
              <w:t>Pakiet biurowy</w:t>
            </w:r>
          </w:p>
        </w:tc>
        <w:tc>
          <w:tcPr>
            <w:tcW w:w="4929" w:type="dxa"/>
          </w:tcPr>
          <w:p w:rsidR="008C5E99" w:rsidRPr="002B239F" w:rsidRDefault="008C5E99" w:rsidP="00083749">
            <w:pPr>
              <w:jc w:val="both"/>
              <w:rPr>
                <w:lang w:val="en-US"/>
              </w:rPr>
            </w:pPr>
            <w:r w:rsidRPr="002B239F">
              <w:rPr>
                <w:lang w:val="en-US"/>
              </w:rPr>
              <w:t xml:space="preserve">Microsoft Office Home and Business 2019 </w:t>
            </w:r>
            <w:proofErr w:type="spellStart"/>
            <w:r w:rsidRPr="002B239F">
              <w:rPr>
                <w:lang w:val="en-US"/>
              </w:rPr>
              <w:t>Polski</w:t>
            </w:r>
            <w:proofErr w:type="spellEnd"/>
            <w:r>
              <w:rPr>
                <w:lang w:val="en-US"/>
              </w:rPr>
              <w:t xml:space="preserve"> – </w:t>
            </w:r>
            <w:proofErr w:type="spellStart"/>
            <w:r>
              <w:rPr>
                <w:lang w:val="en-US"/>
              </w:rPr>
              <w:t>zakup</w:t>
            </w:r>
            <w:proofErr w:type="spellEnd"/>
            <w:r>
              <w:rPr>
                <w:lang w:val="en-US"/>
              </w:rPr>
              <w:t xml:space="preserve"> </w:t>
            </w:r>
            <w:proofErr w:type="spellStart"/>
            <w:r>
              <w:rPr>
                <w:lang w:val="en-US"/>
              </w:rPr>
              <w:t>jednorazowy</w:t>
            </w:r>
            <w:proofErr w:type="spellEnd"/>
            <w:r>
              <w:rPr>
                <w:lang w:val="en-US"/>
              </w:rPr>
              <w:t xml:space="preserve">, </w:t>
            </w:r>
            <w:proofErr w:type="spellStart"/>
            <w:r>
              <w:rPr>
                <w:lang w:val="en-US"/>
              </w:rPr>
              <w:t>licencja</w:t>
            </w:r>
            <w:proofErr w:type="spellEnd"/>
            <w:r>
              <w:rPr>
                <w:lang w:val="en-US"/>
              </w:rPr>
              <w:t xml:space="preserve"> </w:t>
            </w:r>
            <w:proofErr w:type="spellStart"/>
            <w:r>
              <w:rPr>
                <w:lang w:val="en-US"/>
              </w:rPr>
              <w:t>wieczysta</w:t>
            </w:r>
            <w:proofErr w:type="spellEnd"/>
            <w:r>
              <w:rPr>
                <w:lang w:val="en-US"/>
              </w:rPr>
              <w:t>.</w:t>
            </w:r>
          </w:p>
        </w:tc>
        <w:tc>
          <w:tcPr>
            <w:tcW w:w="1884" w:type="dxa"/>
          </w:tcPr>
          <w:p w:rsidR="008C5E99" w:rsidRPr="002B239F" w:rsidRDefault="008C5E99" w:rsidP="00083749">
            <w:pPr>
              <w:jc w:val="both"/>
              <w:rPr>
                <w:lang w:val="en-US"/>
              </w:rPr>
            </w:pPr>
          </w:p>
        </w:tc>
      </w:tr>
    </w:tbl>
    <w:p w:rsidR="00493D6B" w:rsidRPr="002B239F" w:rsidRDefault="00D64C00">
      <w:pPr>
        <w:rPr>
          <w:lang w:val="en-US"/>
        </w:rPr>
      </w:pPr>
    </w:p>
    <w:sectPr w:rsidR="00493D6B" w:rsidRPr="002B239F" w:rsidSect="008C5E99">
      <w:headerReference w:type="default" r:id="rId8"/>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C00" w:rsidRDefault="00D64C00" w:rsidP="008C5E99">
      <w:pPr>
        <w:spacing w:after="0" w:line="240" w:lineRule="auto"/>
      </w:pPr>
      <w:r>
        <w:separator/>
      </w:r>
    </w:p>
  </w:endnote>
  <w:endnote w:type="continuationSeparator" w:id="0">
    <w:p w:rsidR="00D64C00" w:rsidRDefault="00D64C00" w:rsidP="008C5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C00" w:rsidRDefault="00D64C00" w:rsidP="008C5E99">
      <w:pPr>
        <w:spacing w:after="0" w:line="240" w:lineRule="auto"/>
      </w:pPr>
      <w:r>
        <w:separator/>
      </w:r>
    </w:p>
  </w:footnote>
  <w:footnote w:type="continuationSeparator" w:id="0">
    <w:p w:rsidR="00D64C00" w:rsidRDefault="00D64C00" w:rsidP="008C5E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E99" w:rsidRPr="008C5E99" w:rsidRDefault="008C5E99" w:rsidP="008C5E99">
    <w:pPr>
      <w:spacing w:after="200" w:line="276" w:lineRule="auto"/>
      <w:jc w:val="right"/>
      <w:rPr>
        <w:rFonts w:ascii="Calibri" w:eastAsia="Calibri" w:hAnsi="Calibri" w:cs="Times New Roman"/>
        <w:b/>
      </w:rPr>
    </w:pPr>
    <w:r w:rsidRPr="008C5E99">
      <w:rPr>
        <w:rFonts w:ascii="Calibri" w:eastAsia="Calibri" w:hAnsi="Calibri" w:cs="Times New Roman"/>
        <w:b/>
      </w:rPr>
      <w:t xml:space="preserve">Załącznik nr </w:t>
    </w:r>
    <w:r>
      <w:rPr>
        <w:rFonts w:ascii="Calibri" w:eastAsia="Calibri" w:hAnsi="Calibri" w:cs="Times New Roman"/>
        <w:b/>
      </w:rPr>
      <w:t>2a</w:t>
    </w:r>
    <w:r w:rsidRPr="008C5E99">
      <w:rPr>
        <w:rFonts w:ascii="Calibri" w:eastAsia="Calibri" w:hAnsi="Calibri" w:cs="Times New Roman"/>
        <w:b/>
      </w:rPr>
      <w:t xml:space="preserve"> do SIWZ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702B4D"/>
    <w:multiLevelType w:val="hybridMultilevel"/>
    <w:tmpl w:val="BB64A2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C4A57C2"/>
    <w:multiLevelType w:val="hybridMultilevel"/>
    <w:tmpl w:val="DA126C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ED9751E"/>
    <w:multiLevelType w:val="hybridMultilevel"/>
    <w:tmpl w:val="95D0B9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61DD34DA"/>
    <w:multiLevelType w:val="hybridMultilevel"/>
    <w:tmpl w:val="CFBC04A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68C478E6"/>
    <w:multiLevelType w:val="hybridMultilevel"/>
    <w:tmpl w:val="9CCA8A7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6BA26886"/>
    <w:multiLevelType w:val="hybridMultilevel"/>
    <w:tmpl w:val="5D6A07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9754D66"/>
    <w:multiLevelType w:val="hybridMultilevel"/>
    <w:tmpl w:val="FD4CE48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6"/>
  </w:num>
  <w:num w:numId="3">
    <w:abstractNumId w:val="5"/>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0F6"/>
    <w:rsid w:val="00083749"/>
    <w:rsid w:val="00103AD6"/>
    <w:rsid w:val="0013601F"/>
    <w:rsid w:val="002B239F"/>
    <w:rsid w:val="002F392B"/>
    <w:rsid w:val="00445CB1"/>
    <w:rsid w:val="004674A2"/>
    <w:rsid w:val="005A3C2C"/>
    <w:rsid w:val="005D7132"/>
    <w:rsid w:val="005E7C01"/>
    <w:rsid w:val="005F421F"/>
    <w:rsid w:val="00694C66"/>
    <w:rsid w:val="006E25E0"/>
    <w:rsid w:val="0072150B"/>
    <w:rsid w:val="007832D4"/>
    <w:rsid w:val="0080237A"/>
    <w:rsid w:val="00820BAC"/>
    <w:rsid w:val="008222BE"/>
    <w:rsid w:val="00836549"/>
    <w:rsid w:val="00857652"/>
    <w:rsid w:val="008B592C"/>
    <w:rsid w:val="008C5E99"/>
    <w:rsid w:val="008C5F82"/>
    <w:rsid w:val="00902A0E"/>
    <w:rsid w:val="00903450"/>
    <w:rsid w:val="00A127C2"/>
    <w:rsid w:val="00A220F6"/>
    <w:rsid w:val="00A93F76"/>
    <w:rsid w:val="00B04531"/>
    <w:rsid w:val="00C82490"/>
    <w:rsid w:val="00CC6AB0"/>
    <w:rsid w:val="00D51987"/>
    <w:rsid w:val="00D64C00"/>
    <w:rsid w:val="00D87CAC"/>
    <w:rsid w:val="00DA4C79"/>
    <w:rsid w:val="00F721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F83891-BD4D-44FD-9300-BFDDC7A79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211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22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220F6"/>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uiPriority w:val="34"/>
    <w:qFormat/>
    <w:rsid w:val="00A220F6"/>
    <w:pPr>
      <w:ind w:left="720"/>
      <w:contextualSpacing/>
    </w:pPr>
  </w:style>
  <w:style w:type="character" w:styleId="Hipercze">
    <w:name w:val="Hyperlink"/>
    <w:basedOn w:val="Domylnaczcionkaakapitu"/>
    <w:uiPriority w:val="99"/>
    <w:unhideWhenUsed/>
    <w:rsid w:val="00A220F6"/>
    <w:rPr>
      <w:color w:val="0563C1" w:themeColor="hyperlink"/>
      <w:u w:val="single"/>
    </w:rPr>
  </w:style>
  <w:style w:type="character" w:customStyle="1" w:styleId="UnresolvedMention">
    <w:name w:val="Unresolved Mention"/>
    <w:basedOn w:val="Domylnaczcionkaakapitu"/>
    <w:uiPriority w:val="99"/>
    <w:semiHidden/>
    <w:unhideWhenUsed/>
    <w:rsid w:val="00A220F6"/>
    <w:rPr>
      <w:color w:val="605E5C"/>
      <w:shd w:val="clear" w:color="auto" w:fill="E1DFDD"/>
    </w:rPr>
  </w:style>
  <w:style w:type="character" w:styleId="UyteHipercze">
    <w:name w:val="FollowedHyperlink"/>
    <w:basedOn w:val="Domylnaczcionkaakapitu"/>
    <w:uiPriority w:val="99"/>
    <w:semiHidden/>
    <w:unhideWhenUsed/>
    <w:rsid w:val="00A93F76"/>
    <w:rPr>
      <w:color w:val="954F72" w:themeColor="followedHyperlink"/>
      <w:u w:val="single"/>
    </w:rPr>
  </w:style>
  <w:style w:type="paragraph" w:styleId="Nagwek">
    <w:name w:val="header"/>
    <w:basedOn w:val="Normalny"/>
    <w:link w:val="NagwekZnak"/>
    <w:uiPriority w:val="99"/>
    <w:unhideWhenUsed/>
    <w:rsid w:val="008C5E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5E99"/>
  </w:style>
  <w:style w:type="paragraph" w:styleId="Stopka">
    <w:name w:val="footer"/>
    <w:basedOn w:val="Normalny"/>
    <w:link w:val="StopkaZnak"/>
    <w:uiPriority w:val="99"/>
    <w:unhideWhenUsed/>
    <w:rsid w:val="008C5E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5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56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pubenchmark.net/cpu_list.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815</Words>
  <Characters>4891</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Daria Starosta</cp:lastModifiedBy>
  <cp:revision>3</cp:revision>
  <dcterms:created xsi:type="dcterms:W3CDTF">2020-11-25T16:03:00Z</dcterms:created>
  <dcterms:modified xsi:type="dcterms:W3CDTF">2020-11-25T16:36:00Z</dcterms:modified>
</cp:coreProperties>
</file>