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9D6675B" w14:textId="77777777" w:rsidR="00DA12D2" w:rsidRPr="001D7D05" w:rsidRDefault="00DA12D2" w:rsidP="00DA12D2">
      <w:pPr>
        <w:suppressAutoHyphens w:val="0"/>
        <w:spacing w:line="276" w:lineRule="auto"/>
        <w:jc w:val="center"/>
        <w:rPr>
          <w:rFonts w:ascii="Arial" w:eastAsia="Calibri" w:hAnsi="Arial"/>
          <w:b/>
          <w:sz w:val="32"/>
          <w:szCs w:val="32"/>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2094FD57" w14:textId="697CD27F" w:rsidR="00DA12D2" w:rsidRPr="001D7D05" w:rsidRDefault="00DA12D2" w:rsidP="00DA12D2">
      <w:pPr>
        <w:spacing w:line="360" w:lineRule="auto"/>
        <w:jc w:val="center"/>
        <w:rPr>
          <w:rFonts w:ascii="Arial" w:eastAsia="Times New Roman" w:hAnsi="Arial"/>
          <w:b/>
          <w:i/>
          <w:sz w:val="32"/>
          <w:szCs w:val="32"/>
          <w:lang w:eastAsia="hi-IN"/>
        </w:rPr>
      </w:pPr>
      <w:r w:rsidRPr="001D7D05">
        <w:rPr>
          <w:rStyle w:val="markedcontent"/>
          <w:rFonts w:ascii="Arial" w:hAnsi="Arial"/>
          <w:sz w:val="32"/>
          <w:szCs w:val="32"/>
        </w:rPr>
        <w:t xml:space="preserve">Dostawa </w:t>
      </w:r>
      <w:r w:rsidR="00645D61">
        <w:rPr>
          <w:rStyle w:val="markedcontent"/>
          <w:rFonts w:ascii="Arial" w:hAnsi="Arial"/>
          <w:sz w:val="32"/>
          <w:szCs w:val="32"/>
        </w:rPr>
        <w:t>urządzeń medycznych</w:t>
      </w:r>
      <w:r w:rsidR="003E27CF">
        <w:rPr>
          <w:rStyle w:val="markedcontent"/>
          <w:rFonts w:ascii="Arial" w:hAnsi="Arial"/>
          <w:sz w:val="32"/>
          <w:szCs w:val="32"/>
        </w:rPr>
        <w:t xml:space="preserve"> </w:t>
      </w:r>
      <w:r w:rsidR="00B5128F">
        <w:rPr>
          <w:rStyle w:val="markedcontent"/>
          <w:rFonts w:ascii="Arial" w:hAnsi="Arial"/>
          <w:sz w:val="32"/>
          <w:szCs w:val="32"/>
        </w:rPr>
        <w:t xml:space="preserve"> </w:t>
      </w:r>
    </w:p>
    <w:p w14:paraId="0EC7A51C" w14:textId="77777777" w:rsidR="00DA12D2" w:rsidRPr="001D7D05" w:rsidRDefault="00DA12D2" w:rsidP="00DA12D2">
      <w:pPr>
        <w:suppressAutoHyphens w:val="0"/>
        <w:spacing w:line="276" w:lineRule="auto"/>
        <w:jc w:val="center"/>
        <w:rPr>
          <w:rFonts w:ascii="Arial" w:eastAsia="Times New Roman" w:hAnsi="Arial"/>
          <w:kern w:val="0"/>
          <w:sz w:val="32"/>
          <w:szCs w:val="32"/>
          <w:lang w:eastAsia="pl-PL" w:bidi="ar-SA"/>
        </w:rPr>
      </w:pPr>
    </w:p>
    <w:p w14:paraId="1C15E6FC" w14:textId="0E170A1A"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645D61">
        <w:rPr>
          <w:rFonts w:ascii="Arial" w:eastAsia="Arial" w:hAnsi="Arial"/>
          <w:kern w:val="0"/>
          <w:sz w:val="32"/>
          <w:szCs w:val="32"/>
          <w:u w:val="single"/>
          <w:lang w:eastAsia="pl-PL" w:bidi="ar-SA"/>
        </w:rPr>
        <w:t>28</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645D61" w:rsidRDefault="00DA12D2" w:rsidP="00DA12D2">
      <w:pPr>
        <w:suppressAutoHyphens w:val="0"/>
        <w:spacing w:line="276" w:lineRule="auto"/>
        <w:ind w:left="4956" w:right="-255" w:firstLine="708"/>
        <w:jc w:val="center"/>
        <w:rPr>
          <w:rFonts w:ascii="Arial" w:eastAsia="Times New Roman" w:hAnsi="Arial"/>
          <w:kern w:val="0"/>
          <w:lang w:eastAsia="pl-PL" w:bidi="ar-SA"/>
        </w:rPr>
      </w:pPr>
      <w:r w:rsidRPr="00645D61">
        <w:rPr>
          <w:rFonts w:ascii="Arial" w:eastAsia="Arial" w:hAnsi="Arial"/>
          <w:b/>
          <w:kern w:val="0"/>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7C6A099" w14:textId="41B56341"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645D61">
        <w:rPr>
          <w:rFonts w:ascii="Arial" w:eastAsia="Arial" w:hAnsi="Arial"/>
          <w:kern w:val="0"/>
          <w:szCs w:val="20"/>
          <w:lang w:val="en-US" w:eastAsia="pl-PL" w:bidi="ar-SA"/>
        </w:rPr>
        <w:t>14</w:t>
      </w:r>
      <w:r w:rsidR="00B5128F">
        <w:rPr>
          <w:rFonts w:ascii="Arial" w:eastAsia="Arial" w:hAnsi="Arial"/>
          <w:kern w:val="0"/>
          <w:szCs w:val="20"/>
          <w:lang w:val="en-US" w:eastAsia="pl-PL" w:bidi="ar-SA"/>
        </w:rPr>
        <w:t>.0</w:t>
      </w:r>
      <w:r w:rsidR="00645D61">
        <w:rPr>
          <w:rFonts w:ascii="Arial" w:eastAsia="Arial" w:hAnsi="Arial"/>
          <w:kern w:val="0"/>
          <w:szCs w:val="20"/>
          <w:lang w:val="en-US" w:eastAsia="pl-PL" w:bidi="ar-SA"/>
        </w:rPr>
        <w:t>3</w:t>
      </w:r>
      <w:r w:rsidRPr="001D7D05">
        <w:rPr>
          <w:rFonts w:ascii="Arial" w:eastAsia="Arial" w:hAnsi="Arial"/>
          <w:kern w:val="0"/>
          <w:szCs w:val="20"/>
          <w:lang w:val="en-US" w:eastAsia="pl-PL" w:bidi="ar-SA"/>
        </w:rPr>
        <w:t>.202</w:t>
      </w:r>
      <w:r w:rsidR="003E27CF">
        <w:rPr>
          <w:rFonts w:ascii="Arial" w:eastAsia="Arial" w:hAnsi="Arial"/>
          <w:kern w:val="0"/>
          <w:szCs w:val="20"/>
          <w:lang w:val="en-US" w:eastAsia="pl-PL" w:bidi="ar-SA"/>
        </w:rPr>
        <w:t>4</w:t>
      </w:r>
      <w:r w:rsidRPr="001D7D05">
        <w:rPr>
          <w:rFonts w:ascii="Arial" w:eastAsia="Arial" w:hAnsi="Arial"/>
          <w:kern w:val="0"/>
          <w:szCs w:val="20"/>
          <w:lang w:eastAsia="pl-PL" w:bidi="ar-SA"/>
        </w:rPr>
        <w:t xml:space="preserve"> r.</w:t>
      </w: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5F50C8F" w14:textId="613B7566"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xml:space="preserve">) zwaną dalej </w:t>
      </w:r>
      <w:proofErr w:type="spellStart"/>
      <w:r w:rsidRPr="001D7D05">
        <w:rPr>
          <w:rFonts w:ascii="Arial" w:hAnsi="Arial" w:cs="Arial"/>
        </w:rPr>
        <w:t>Pzp</w:t>
      </w:r>
      <w:proofErr w:type="spellEnd"/>
      <w:r w:rsidRPr="001D7D05">
        <w:rPr>
          <w:rFonts w:ascii="Arial" w:hAnsi="Arial" w:cs="Arial"/>
        </w:rPr>
        <w:t xml:space="preserve">, na podstawie art. 132 </w:t>
      </w:r>
      <w:proofErr w:type="spellStart"/>
      <w:r w:rsidRPr="001D7D05">
        <w:rPr>
          <w:rFonts w:ascii="Arial" w:hAnsi="Arial" w:cs="Arial"/>
        </w:rPr>
        <w:t>Pzp</w:t>
      </w:r>
      <w:proofErr w:type="spellEnd"/>
      <w:r w:rsidRPr="001D7D05">
        <w:rPr>
          <w:rFonts w:ascii="Arial" w:hAnsi="Arial" w:cs="Arial"/>
        </w:rPr>
        <w:t xml:space="preserve"> w trybie przetargu nieograniczonego. W zakresie nieuregulowanym SWZ, stosuje się przepisy </w:t>
      </w:r>
      <w:proofErr w:type="spellStart"/>
      <w:r w:rsidRPr="001D7D05">
        <w:rPr>
          <w:rFonts w:ascii="Arial" w:hAnsi="Arial" w:cs="Arial"/>
        </w:rPr>
        <w:t>Pzp</w:t>
      </w:r>
      <w:proofErr w:type="spellEnd"/>
      <w:r w:rsidRPr="001D7D05">
        <w:rPr>
          <w:rFonts w:ascii="Arial" w:hAnsi="Arial" w:cs="Arial"/>
        </w:rPr>
        <w:t>.</w:t>
      </w:r>
    </w:p>
    <w:p w14:paraId="14EF993A" w14:textId="0CEAC2EA"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Ogłoszenie i SWZ udostępnione zostały na stronie internetowej</w:t>
      </w:r>
      <w:r w:rsidR="00A0082C">
        <w:rPr>
          <w:rFonts w:ascii="Arial" w:hAnsi="Arial" w:cs="Arial"/>
        </w:rPr>
        <w:t xml:space="preserve"> </w:t>
      </w:r>
      <w:hyperlink r:id="rId8" w:history="1">
        <w:r w:rsidR="00A0082C" w:rsidRPr="0095030A">
          <w:rPr>
            <w:rStyle w:val="Hipercze"/>
            <w:rFonts w:ascii="Arial" w:hAnsi="Arial" w:cs="Arial"/>
          </w:rPr>
          <w:t>https://platformazakupowa.pl/pn/szpitalzawiercie</w:t>
        </w:r>
      </w:hyperlink>
      <w:r w:rsidRPr="001D7D05">
        <w:rPr>
          <w:rFonts w:ascii="Arial" w:hAnsi="Arial" w:cs="Arial"/>
        </w:rPr>
        <w:t xml:space="preserve"> od dnia publikacji w Biuletynie Zamówień Publicznych</w:t>
      </w:r>
      <w:r w:rsidR="00B5128F">
        <w:rPr>
          <w:rFonts w:ascii="Arial" w:hAnsi="Arial" w:cs="Arial"/>
        </w:rPr>
        <w:t xml:space="preserve"> </w:t>
      </w:r>
      <w:r w:rsidRPr="001D7D05">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1D7D05">
        <w:rPr>
          <w:rFonts w:ascii="Arial" w:hAnsi="Arial" w:cs="Arial"/>
        </w:rPr>
        <w:t>Pzp</w:t>
      </w:r>
      <w:proofErr w:type="spellEnd"/>
      <w:r w:rsidRPr="001D7D05">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7189928B" w:rsidR="00DA12D2"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dostawa </w:t>
      </w:r>
      <w:r w:rsidR="00645D61">
        <w:rPr>
          <w:rFonts w:ascii="Arial" w:hAnsi="Arial" w:cs="Arial"/>
          <w:sz w:val="22"/>
          <w:szCs w:val="22"/>
        </w:rPr>
        <w:t>urządzeń medycznych</w:t>
      </w:r>
      <w:r w:rsidR="003E27CF">
        <w:rPr>
          <w:rFonts w:ascii="Arial" w:hAnsi="Arial" w:cs="Arial"/>
          <w:sz w:val="22"/>
          <w:szCs w:val="22"/>
        </w:rPr>
        <w:t xml:space="preserve"> 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r w:rsidR="00645D61">
        <w:rPr>
          <w:rFonts w:ascii="Arial" w:hAnsi="Arial"/>
          <w:sz w:val="22"/>
          <w:szCs w:val="22"/>
        </w:rPr>
        <w:t xml:space="preserve"> Przedmiot zamówienia został podzielony na 2 pakiety: </w:t>
      </w:r>
    </w:p>
    <w:p w14:paraId="16BBC2E9" w14:textId="76B39266" w:rsidR="00645D61" w:rsidRDefault="00645D61" w:rsidP="00645D61">
      <w:pPr>
        <w:pStyle w:val="Akapitzlist"/>
        <w:tabs>
          <w:tab w:val="left" w:pos="426"/>
        </w:tabs>
        <w:spacing w:before="120" w:line="276" w:lineRule="auto"/>
        <w:ind w:left="426"/>
        <w:jc w:val="both"/>
        <w:rPr>
          <w:rFonts w:ascii="Arial" w:hAnsi="Arial"/>
          <w:sz w:val="22"/>
          <w:szCs w:val="22"/>
        </w:rPr>
      </w:pPr>
      <w:r>
        <w:rPr>
          <w:rFonts w:ascii="Arial" w:hAnsi="Arial"/>
          <w:sz w:val="22"/>
          <w:szCs w:val="22"/>
        </w:rPr>
        <w:t>Pakiet nr 1 – Urządzenie do automatycznego ucisku klatki piersiowej</w:t>
      </w:r>
    </w:p>
    <w:p w14:paraId="56FE6A8F" w14:textId="09163926" w:rsidR="00645D61" w:rsidRPr="00B5128F" w:rsidRDefault="00645D61" w:rsidP="00645D61">
      <w:pPr>
        <w:pStyle w:val="Akapitzlist"/>
        <w:tabs>
          <w:tab w:val="left" w:pos="426"/>
        </w:tabs>
        <w:spacing w:before="120" w:line="276" w:lineRule="auto"/>
        <w:ind w:left="426"/>
        <w:jc w:val="both"/>
        <w:rPr>
          <w:rFonts w:ascii="Arial" w:hAnsi="Arial"/>
          <w:sz w:val="22"/>
          <w:szCs w:val="22"/>
        </w:rPr>
      </w:pPr>
      <w:r>
        <w:rPr>
          <w:rFonts w:ascii="Arial" w:hAnsi="Arial"/>
          <w:sz w:val="22"/>
          <w:szCs w:val="22"/>
        </w:rPr>
        <w:t>Pakiet nr 2 – Aparaty USG</w:t>
      </w:r>
    </w:p>
    <w:p w14:paraId="6C81B4D1" w14:textId="77777777" w:rsidR="00DA12D2" w:rsidRDefault="00DA12D2" w:rsidP="00DA12D2">
      <w:pPr>
        <w:pStyle w:val="Akapitzlist"/>
        <w:numPr>
          <w:ilvl w:val="0"/>
          <w:numId w:val="2"/>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457CAD86" w14:textId="77777777" w:rsidR="00645D61" w:rsidRDefault="003E27CF" w:rsidP="003E27CF">
      <w:pPr>
        <w:pStyle w:val="Akapitzlist"/>
        <w:spacing w:line="276" w:lineRule="auto"/>
        <w:ind w:left="426"/>
        <w:jc w:val="both"/>
        <w:rPr>
          <w:rFonts w:ascii="Arial" w:hAnsi="Arial" w:cs="Arial"/>
          <w:sz w:val="22"/>
          <w:szCs w:val="22"/>
        </w:rPr>
      </w:pPr>
      <w:bookmarkStart w:id="0" w:name="_Hlk145577534"/>
      <w:r>
        <w:rPr>
          <w:rFonts w:ascii="Arial" w:hAnsi="Arial" w:cs="Arial"/>
          <w:sz w:val="22"/>
          <w:szCs w:val="22"/>
        </w:rPr>
        <w:t>3</w:t>
      </w:r>
      <w:r w:rsidR="00645D61">
        <w:rPr>
          <w:rFonts w:ascii="Arial" w:hAnsi="Arial" w:cs="Arial"/>
          <w:sz w:val="22"/>
          <w:szCs w:val="22"/>
        </w:rPr>
        <w:t xml:space="preserve">100000-1 Urządzenia medyczne </w:t>
      </w:r>
    </w:p>
    <w:p w14:paraId="59D255AE" w14:textId="77777777" w:rsidR="00645D61" w:rsidRDefault="00645D61" w:rsidP="003E27CF">
      <w:pPr>
        <w:pStyle w:val="Akapitzlist"/>
        <w:spacing w:line="276" w:lineRule="auto"/>
        <w:ind w:left="426"/>
        <w:jc w:val="both"/>
        <w:rPr>
          <w:rFonts w:ascii="Arial" w:hAnsi="Arial" w:cs="Arial"/>
          <w:sz w:val="22"/>
          <w:szCs w:val="22"/>
        </w:rPr>
      </w:pPr>
      <w:r>
        <w:rPr>
          <w:rFonts w:ascii="Arial" w:hAnsi="Arial" w:cs="Arial"/>
          <w:sz w:val="22"/>
          <w:szCs w:val="22"/>
        </w:rPr>
        <w:t>33170000-2 Aparatura do anestezji i resuscytacji</w:t>
      </w:r>
    </w:p>
    <w:p w14:paraId="1CC52302" w14:textId="77777777" w:rsidR="00645D61" w:rsidRDefault="00645D61" w:rsidP="003E27CF">
      <w:pPr>
        <w:pStyle w:val="Akapitzlist"/>
        <w:spacing w:line="276" w:lineRule="auto"/>
        <w:ind w:left="426"/>
        <w:jc w:val="both"/>
        <w:rPr>
          <w:rFonts w:ascii="Arial" w:hAnsi="Arial" w:cs="Arial"/>
          <w:sz w:val="22"/>
          <w:szCs w:val="22"/>
        </w:rPr>
      </w:pPr>
      <w:r>
        <w:rPr>
          <w:rFonts w:ascii="Arial" w:hAnsi="Arial" w:cs="Arial"/>
          <w:sz w:val="22"/>
          <w:szCs w:val="22"/>
        </w:rPr>
        <w:t>33112200-0 Aparaty ultrasonograficzne</w:t>
      </w:r>
    </w:p>
    <w:p w14:paraId="2D7742A2" w14:textId="198BF797" w:rsidR="00F45558" w:rsidRPr="00942F05" w:rsidRDefault="00645D61" w:rsidP="003E27CF">
      <w:pPr>
        <w:pStyle w:val="Akapitzlist"/>
        <w:spacing w:line="276" w:lineRule="auto"/>
        <w:ind w:left="426"/>
        <w:jc w:val="both"/>
        <w:rPr>
          <w:rFonts w:ascii="Arial" w:hAnsi="Arial" w:cs="Arial"/>
          <w:sz w:val="22"/>
          <w:szCs w:val="22"/>
        </w:rPr>
      </w:pPr>
      <w:r>
        <w:rPr>
          <w:rFonts w:ascii="Arial" w:hAnsi="Arial" w:cs="Arial"/>
          <w:sz w:val="22"/>
          <w:szCs w:val="22"/>
        </w:rPr>
        <w:t>33112000-8 Sprzęt obrazujący pogłosowy, ultradźwiękowy i dopplerowski</w:t>
      </w:r>
      <w:r w:rsidR="003E27CF">
        <w:rPr>
          <w:rFonts w:ascii="Arial" w:hAnsi="Arial" w:cs="Arial"/>
          <w:sz w:val="22"/>
          <w:szCs w:val="22"/>
        </w:rPr>
        <w:t xml:space="preserve"> </w:t>
      </w:r>
    </w:p>
    <w:bookmarkEnd w:id="0"/>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FB9ADCE"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13244780" w14:textId="77777777" w:rsidR="003E27CF" w:rsidRDefault="00DA12D2" w:rsidP="003E27CF">
      <w:pPr>
        <w:pStyle w:val="Standard"/>
        <w:numPr>
          <w:ilvl w:val="0"/>
          <w:numId w:val="3"/>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w:t>
      </w:r>
      <w:r w:rsidRPr="001D7D05">
        <w:rPr>
          <w:rFonts w:ascii="Arial" w:hAnsi="Arial" w:cs="Arial"/>
        </w:rPr>
        <w:lastRenderedPageBreak/>
        <w:t xml:space="preserve">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170C12" w14:textId="7EC4CA6A" w:rsidR="00DA12D2" w:rsidRPr="00645D61" w:rsidRDefault="00DA12D2" w:rsidP="00645D61">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48CAFA4B"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3E27CF">
        <w:rPr>
          <w:rFonts w:ascii="Arial" w:hAnsi="Arial" w:cs="Arial"/>
          <w:sz w:val="22"/>
          <w:szCs w:val="22"/>
        </w:rPr>
        <w:t>70</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 xml:space="preserve">O udzielenie zamówienia mogą wziąć udział Wykonawcy, którzy spełniają warunki określone w art. 57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xml:space="preserve"> oraz art. 112 ust. 2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tj.:</w:t>
      </w:r>
    </w:p>
    <w:p w14:paraId="0382E216"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t>uprawnień do prowadzenia określonej działalności gospodarczej lub zawodowej, o ile wynika to z odrębnych przepisów – Zamawiający nie ustala szczegółowego warunku udziału w postępowaniu.</w:t>
      </w:r>
    </w:p>
    <w:p w14:paraId="4F98CB5B"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sytuacji ekonomicznej lub finansowej</w:t>
      </w:r>
    </w:p>
    <w:p w14:paraId="33BE463D"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25996662"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 xml:space="preserve">zdolności technicznej lub zawodowej </w:t>
      </w:r>
    </w:p>
    <w:p w14:paraId="08F97760" w14:textId="77777777" w:rsidR="00DA12D2" w:rsidRPr="001D7D05" w:rsidRDefault="00DA12D2" w:rsidP="00DA12D2">
      <w:pPr>
        <w:spacing w:line="276" w:lineRule="auto"/>
        <w:ind w:firstLine="720"/>
        <w:rPr>
          <w:rFonts w:ascii="Arial" w:eastAsia="Arial" w:hAnsi="Arial"/>
          <w:sz w:val="22"/>
          <w:szCs w:val="22"/>
        </w:rPr>
      </w:pPr>
      <w:r w:rsidRPr="001D7D05">
        <w:rPr>
          <w:rFonts w:ascii="Arial" w:hAnsi="Arial"/>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lastRenderedPageBreak/>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1D7D05">
        <w:rPr>
          <w:rFonts w:ascii="Arial" w:hAnsi="Arial"/>
          <w:sz w:val="22"/>
          <w:szCs w:val="22"/>
        </w:rPr>
        <w:t>późn</w:t>
      </w:r>
      <w:proofErr w:type="spellEnd"/>
      <w:r w:rsidRPr="001D7D05">
        <w:rPr>
          <w:rFonts w:ascii="Arial" w:hAnsi="Arial"/>
          <w:sz w:val="22"/>
          <w:szCs w:val="22"/>
        </w:rPr>
        <w:t xml:space="preserve">.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lastRenderedPageBreak/>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1D7D05">
        <w:rPr>
          <w:rFonts w:ascii="Arial" w:hAnsi="Arial"/>
          <w:sz w:val="22"/>
          <w:szCs w:val="22"/>
        </w:rPr>
        <w:t>późn</w:t>
      </w:r>
      <w:proofErr w:type="spellEnd"/>
      <w:r w:rsidRPr="001D7D05">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1D7D05">
        <w:rPr>
          <w:rFonts w:ascii="Arial" w:hAnsi="Arial"/>
          <w:sz w:val="22"/>
          <w:szCs w:val="22"/>
        </w:rPr>
        <w:t>późn</w:t>
      </w:r>
      <w:proofErr w:type="spellEnd"/>
      <w:r w:rsidRPr="001D7D05">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D7D05">
        <w:rPr>
          <w:rFonts w:ascii="Arial" w:hAnsi="Arial"/>
          <w:sz w:val="22"/>
          <w:szCs w:val="22"/>
        </w:rPr>
        <w:t>Dz.Urz</w:t>
      </w:r>
      <w:proofErr w:type="spellEnd"/>
      <w:r w:rsidRPr="001D7D05">
        <w:rPr>
          <w:rFonts w:ascii="Arial" w:hAnsi="Arial"/>
          <w:sz w:val="22"/>
          <w:szCs w:val="22"/>
        </w:rPr>
        <w:t>.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wykazania spełniania przez Wykonawcę warunków, o których mowa w art. 57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xml:space="preserve"> oraz </w:t>
      </w:r>
      <w:r w:rsidRPr="001D7D05">
        <w:rPr>
          <w:rFonts w:ascii="Arial" w:hAnsi="Arial"/>
          <w:b/>
          <w:sz w:val="22"/>
          <w:szCs w:val="22"/>
        </w:rPr>
        <w:t xml:space="preserve">art. 7 ust. 1 ustawy z dnia 13 kwietnia 2022 r. o szczególnych rozwiązaniach w zakresie przeciwdziałania wspieraniu agresji na Ukrainę oraz </w:t>
      </w:r>
      <w:r w:rsidRPr="001D7D05">
        <w:rPr>
          <w:rFonts w:ascii="Arial" w:hAnsi="Arial"/>
          <w:b/>
          <w:sz w:val="22"/>
          <w:szCs w:val="22"/>
        </w:rPr>
        <w:lastRenderedPageBreak/>
        <w:t xml:space="preserve">służących ochronie bezpieczeństwa narodowego (Dz.U. z 2022 poz. 835, z </w:t>
      </w:r>
      <w:proofErr w:type="spellStart"/>
      <w:r w:rsidRPr="001D7D05">
        <w:rPr>
          <w:rFonts w:ascii="Arial" w:hAnsi="Arial"/>
          <w:b/>
          <w:sz w:val="22"/>
          <w:szCs w:val="22"/>
        </w:rPr>
        <w:t>późn</w:t>
      </w:r>
      <w:proofErr w:type="spellEnd"/>
      <w:r w:rsidRPr="001D7D05">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b/>
          <w:sz w:val="22"/>
          <w:szCs w:val="22"/>
        </w:rPr>
        <w:t>późn</w:t>
      </w:r>
      <w:proofErr w:type="spellEnd"/>
      <w:r w:rsidRPr="001D7D05">
        <w:rPr>
          <w:rFonts w:ascii="Arial" w:hAnsi="Arial"/>
          <w:b/>
          <w:sz w:val="22"/>
          <w:szCs w:val="22"/>
        </w:rPr>
        <w:t>.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sz w:val="22"/>
          <w:szCs w:val="22"/>
        </w:rPr>
        <w:t>późn</w:t>
      </w:r>
      <w:proofErr w:type="spellEnd"/>
      <w:r w:rsidRPr="001D7D05">
        <w:rPr>
          <w:rFonts w:ascii="Arial" w:hAnsi="Arial"/>
          <w:sz w:val="22"/>
          <w:szCs w:val="22"/>
        </w:rPr>
        <w:t xml:space="preserve">.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Załącznik nr 5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w:t>
      </w:r>
      <w:r w:rsidRPr="001D7D05">
        <w:rPr>
          <w:rFonts w:ascii="Arial" w:hAnsi="Arial"/>
          <w:sz w:val="22"/>
          <w:szCs w:val="22"/>
        </w:rPr>
        <w:lastRenderedPageBreak/>
        <w:t>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 xml:space="preserve">oświadczenia wykonawcy o aktualności informacji zawartych w oświadczeniu, o którym mowa w art. 125 ust. 1 ustawy </w:t>
      </w:r>
      <w:proofErr w:type="spellStart"/>
      <w:r w:rsidRPr="001D7D05">
        <w:rPr>
          <w:rFonts w:ascii="Arial" w:hAnsi="Arial"/>
          <w:b/>
          <w:sz w:val="22"/>
          <w:szCs w:val="22"/>
        </w:rPr>
        <w:t>Pzp</w:t>
      </w:r>
      <w:proofErr w:type="spellEnd"/>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77777777"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załącznik nr 6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77777777"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7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1D7D05">
        <w:rPr>
          <w:rFonts w:ascii="Arial" w:eastAsia="Arial" w:hAnsi="Arial"/>
          <w:sz w:val="22"/>
          <w:szCs w:val="22"/>
        </w:rPr>
        <w:t>późn</w:t>
      </w:r>
      <w:proofErr w:type="spellEnd"/>
      <w:r w:rsidRPr="001D7D05">
        <w:rPr>
          <w:rFonts w:ascii="Arial" w:eastAsia="Arial" w:hAnsi="Arial"/>
          <w:sz w:val="22"/>
          <w:szCs w:val="22"/>
        </w:rPr>
        <w:t>. zm</w:t>
      </w:r>
      <w:r w:rsidRPr="001D7D05">
        <w:rPr>
          <w:rStyle w:val="Odwoaniedokomentarza"/>
          <w:rFonts w:ascii="Arial" w:hAnsi="Arial"/>
          <w:sz w:val="22"/>
          <w:szCs w:val="22"/>
        </w:rPr>
        <w:t>.</w:t>
      </w:r>
      <w:r w:rsidRPr="001D7D05">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1D7D05">
        <w:rPr>
          <w:rFonts w:ascii="Arial" w:eastAsia="Arial" w:hAnsi="Arial"/>
          <w:sz w:val="22"/>
          <w:szCs w:val="22"/>
        </w:rPr>
        <w:t>Pzp</w:t>
      </w:r>
      <w:proofErr w:type="spellEnd"/>
      <w:r w:rsidRPr="001D7D05">
        <w:rPr>
          <w:rFonts w:ascii="Arial" w:eastAsia="Arial" w:hAnsi="Arial"/>
          <w:sz w:val="22"/>
          <w:szCs w:val="22"/>
        </w:rPr>
        <w:t>.</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lastRenderedPageBreak/>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Pr="001D7D05"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25641A36" w14:textId="54C159B7" w:rsidR="00645D61" w:rsidRPr="00645D61" w:rsidRDefault="00645D61" w:rsidP="00645D61">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645D61">
        <w:rPr>
          <w:rFonts w:ascii="Arial" w:eastAsia="CIDFont+F6" w:hAnsi="Arial" w:cs="Arial"/>
          <w:color w:val="000000"/>
          <w:sz w:val="22"/>
          <w:szCs w:val="22"/>
          <w:lang w:eastAsia="pl-PL"/>
        </w:rPr>
        <w:t xml:space="preserve">- Certyfikat CE lub równoważny </w:t>
      </w:r>
      <w:r w:rsidR="00131A04">
        <w:rPr>
          <w:rFonts w:ascii="Arial" w:eastAsia="CIDFont+F6" w:hAnsi="Arial" w:cs="Arial"/>
          <w:color w:val="000000"/>
          <w:sz w:val="22"/>
          <w:szCs w:val="22"/>
          <w:lang w:eastAsia="pl-PL"/>
        </w:rPr>
        <w:t xml:space="preserve">– </w:t>
      </w:r>
      <w:r w:rsidR="00131A04" w:rsidRPr="00131A04">
        <w:rPr>
          <w:rFonts w:ascii="Arial" w:eastAsia="CIDFont+F6" w:hAnsi="Arial" w:cs="Arial"/>
          <w:b/>
          <w:bCs/>
          <w:color w:val="000000"/>
          <w:sz w:val="22"/>
          <w:szCs w:val="22"/>
          <w:lang w:eastAsia="pl-PL"/>
        </w:rPr>
        <w:t>dotyczy wszystkich pakietów</w:t>
      </w:r>
      <w:r w:rsidR="00131A04">
        <w:rPr>
          <w:rFonts w:ascii="Arial" w:eastAsia="CIDFont+F6" w:hAnsi="Arial" w:cs="Arial"/>
          <w:color w:val="000000"/>
          <w:sz w:val="22"/>
          <w:szCs w:val="22"/>
          <w:lang w:eastAsia="pl-PL"/>
        </w:rPr>
        <w:t xml:space="preserve"> </w:t>
      </w:r>
    </w:p>
    <w:p w14:paraId="0C4E5898" w14:textId="3579DFF8" w:rsidR="00645D61" w:rsidRPr="00645D61" w:rsidRDefault="00645D61" w:rsidP="00645D61">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3B1C56">
        <w:rPr>
          <w:rFonts w:ascii="Arial" w:eastAsia="CIDFont+F6" w:hAnsi="Arial" w:cs="Arial"/>
          <w:color w:val="000000"/>
          <w:sz w:val="22"/>
          <w:szCs w:val="22"/>
          <w:lang w:eastAsia="pl-PL"/>
        </w:rPr>
        <w:t>- Autoryzacja producenta na serwis i sprzedaż zaoferowanego aparatu USG na terenie Polski</w:t>
      </w:r>
      <w:r w:rsidRPr="003B1C56">
        <w:rPr>
          <w:rFonts w:ascii="Arial" w:eastAsia="CIDFont+F6" w:hAnsi="Arial" w:cs="Arial"/>
          <w:b/>
          <w:bCs/>
          <w:color w:val="000000"/>
          <w:sz w:val="22"/>
          <w:szCs w:val="22"/>
          <w:lang w:eastAsia="pl-PL"/>
        </w:rPr>
        <w:t xml:space="preserve"> – dotyczy pakietu nr</w:t>
      </w:r>
      <w:r w:rsidR="00131A04" w:rsidRPr="003B1C56">
        <w:rPr>
          <w:rFonts w:ascii="Arial" w:eastAsia="CIDFont+F6" w:hAnsi="Arial" w:cs="Arial"/>
          <w:b/>
          <w:bCs/>
          <w:color w:val="000000"/>
          <w:sz w:val="22"/>
          <w:szCs w:val="22"/>
          <w:lang w:eastAsia="pl-PL"/>
        </w:rPr>
        <w:t xml:space="preserve"> 2</w:t>
      </w:r>
      <w:r w:rsidRPr="00645D61">
        <w:rPr>
          <w:rFonts w:ascii="Arial" w:eastAsia="CIDFont+F6" w:hAnsi="Arial" w:cs="Arial"/>
          <w:b/>
          <w:bCs/>
          <w:color w:val="000000"/>
          <w:sz w:val="22"/>
          <w:szCs w:val="22"/>
          <w:lang w:eastAsia="pl-PL"/>
        </w:rPr>
        <w:t xml:space="preserve"> </w:t>
      </w:r>
    </w:p>
    <w:p w14:paraId="3CFA82CD" w14:textId="7F4337A0" w:rsidR="00DA12D2" w:rsidRPr="001D7D05" w:rsidRDefault="00DA12D2" w:rsidP="00942F05">
      <w:pPr>
        <w:pStyle w:val="Akapitzlist"/>
        <w:numPr>
          <w:ilvl w:val="0"/>
          <w:numId w:val="12"/>
        </w:numPr>
        <w:autoSpaceDE w:val="0"/>
        <w:autoSpaceDN w:val="0"/>
        <w:adjustRightInd w:val="0"/>
        <w:spacing w:line="276" w:lineRule="auto"/>
        <w:ind w:left="426"/>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942F05">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04A9B2CB" w14:textId="56DE86DA" w:rsidR="00992B11" w:rsidRPr="00645D61" w:rsidRDefault="00992B11" w:rsidP="00992B11">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645D61">
        <w:rPr>
          <w:rFonts w:ascii="Arial" w:eastAsia="CIDFont+F6" w:hAnsi="Arial" w:cs="Arial"/>
          <w:color w:val="000000"/>
          <w:sz w:val="22"/>
          <w:szCs w:val="22"/>
          <w:lang w:eastAsia="pl-PL"/>
        </w:rPr>
        <w:t xml:space="preserve">- Certyfikat CE lub równoważny </w:t>
      </w:r>
      <w:r w:rsidR="00131A04">
        <w:rPr>
          <w:rFonts w:ascii="Arial" w:eastAsia="CIDFont+F6" w:hAnsi="Arial" w:cs="Arial"/>
          <w:color w:val="000000"/>
          <w:sz w:val="22"/>
          <w:szCs w:val="22"/>
          <w:lang w:eastAsia="pl-PL"/>
        </w:rPr>
        <w:t>– dotyczy wszystkich pakietów</w:t>
      </w:r>
    </w:p>
    <w:p w14:paraId="7D3CDA4D" w14:textId="37D1C5B6" w:rsidR="00992B11" w:rsidRPr="00645D61" w:rsidRDefault="00992B11" w:rsidP="00992B11">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3B1C56">
        <w:rPr>
          <w:rFonts w:ascii="Arial" w:eastAsia="CIDFont+F6" w:hAnsi="Arial" w:cs="Arial"/>
          <w:color w:val="000000"/>
          <w:sz w:val="22"/>
          <w:szCs w:val="22"/>
          <w:lang w:eastAsia="pl-PL"/>
        </w:rPr>
        <w:t>- Autoryzacja producenta na serwis i sprzedaż zaoferowanego aparatu USG na terenie Polski</w:t>
      </w:r>
      <w:r w:rsidRPr="003B1C56">
        <w:rPr>
          <w:rFonts w:ascii="Arial" w:eastAsia="CIDFont+F6" w:hAnsi="Arial" w:cs="Arial"/>
          <w:b/>
          <w:bCs/>
          <w:color w:val="000000"/>
          <w:sz w:val="22"/>
          <w:szCs w:val="22"/>
          <w:lang w:eastAsia="pl-PL"/>
        </w:rPr>
        <w:t xml:space="preserve"> – dotyczy pakietu nr </w:t>
      </w:r>
      <w:r w:rsidR="00131A04" w:rsidRPr="003B1C56">
        <w:rPr>
          <w:rFonts w:ascii="Arial" w:eastAsia="CIDFont+F6" w:hAnsi="Arial" w:cs="Arial"/>
          <w:b/>
          <w:bCs/>
          <w:color w:val="000000"/>
          <w:sz w:val="22"/>
          <w:szCs w:val="22"/>
          <w:lang w:eastAsia="pl-PL"/>
        </w:rPr>
        <w:t>2</w:t>
      </w:r>
      <w:r w:rsidRPr="00645D61">
        <w:rPr>
          <w:rFonts w:ascii="Arial" w:eastAsia="CIDFont+F6" w:hAnsi="Arial" w:cs="Arial"/>
          <w:b/>
          <w:bCs/>
          <w:color w:val="000000"/>
          <w:sz w:val="22"/>
          <w:szCs w:val="22"/>
          <w:lang w:eastAsia="pl-PL"/>
        </w:rPr>
        <w:t xml:space="preserve"> </w:t>
      </w:r>
    </w:p>
    <w:p w14:paraId="6FF57FD3"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942F05">
        <w:rPr>
          <w:rFonts w:ascii="Arial" w:hAnsi="Arial"/>
          <w:kern w:val="0"/>
          <w:sz w:val="22"/>
          <w:szCs w:val="22"/>
          <w:lang w:eastAsia="pl-PL"/>
        </w:rPr>
        <w:t xml:space="preserve">8) </w:t>
      </w:r>
      <w:r w:rsidRPr="00942F05">
        <w:rPr>
          <w:rFonts w:ascii="Arial" w:hAnsi="Arial"/>
          <w:kern w:val="0"/>
          <w:sz w:val="22"/>
          <w:szCs w:val="22"/>
          <w:lang w:eastAsia="pl-PL"/>
        </w:rPr>
        <w:tab/>
      </w:r>
      <w:r w:rsidRPr="00942F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2EDB30B2" w:rsidR="00DA12D2" w:rsidRPr="001D7D05" w:rsidRDefault="003D48B5"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Pr>
          <w:rFonts w:ascii="Arial" w:eastAsia="Times New Roman" w:hAnsi="Arial"/>
          <w:kern w:val="0"/>
          <w:sz w:val="22"/>
          <w:szCs w:val="22"/>
          <w:lang w:val="en-US" w:eastAsia="pl-PL" w:bidi="pl-PL"/>
        </w:rPr>
        <w:t>Trólka</w:t>
      </w:r>
      <w:proofErr w:type="spellEnd"/>
      <w:r>
        <w:rPr>
          <w:rFonts w:ascii="Arial" w:eastAsia="Times New Roman" w:hAnsi="Arial"/>
          <w:kern w:val="0"/>
          <w:sz w:val="22"/>
          <w:szCs w:val="22"/>
          <w:lang w:val="en-US" w:eastAsia="pl-PL" w:bidi="pl-PL"/>
        </w:rPr>
        <w:t xml:space="preserve"> </w:t>
      </w:r>
      <w:r w:rsidR="00DA12D2">
        <w:rPr>
          <w:rFonts w:ascii="Arial" w:eastAsia="Times New Roman" w:hAnsi="Arial"/>
          <w:kern w:val="0"/>
          <w:sz w:val="22"/>
          <w:szCs w:val="22"/>
          <w:lang w:val="en-US" w:eastAsia="pl-PL" w:bidi="pl-PL"/>
        </w:rPr>
        <w:t xml:space="preserve"> </w:t>
      </w:r>
      <w:r w:rsidR="00DA12D2" w:rsidRPr="001D7D05">
        <w:rPr>
          <w:rFonts w:ascii="Arial" w:eastAsia="Times New Roman" w:hAnsi="Arial"/>
          <w:kern w:val="0"/>
          <w:sz w:val="22"/>
          <w:szCs w:val="22"/>
          <w:lang w:val="en-US" w:eastAsia="pl-PL" w:bidi="pl-PL"/>
        </w:rPr>
        <w:t xml:space="preserve">tel. 32 67 40 361, email: </w:t>
      </w:r>
      <w:hyperlink r:id="rId9" w:history="1">
        <w:r w:rsidR="00DA12D2" w:rsidRPr="001D7D05">
          <w:rPr>
            <w:rStyle w:val="Hipercze"/>
            <w:rFonts w:ascii="Arial" w:hAnsi="Arial"/>
            <w:kern w:val="0"/>
            <w:sz w:val="22"/>
            <w:szCs w:val="22"/>
            <w:lang w:val="en-US" w:eastAsia="pl-PL" w:bidi="pl-PL"/>
          </w:rPr>
          <w:t>zampub@szpitalzawiercie.pl</w:t>
        </w:r>
      </w:hyperlink>
    </w:p>
    <w:p w14:paraId="7E183BD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D7D05">
          <w:rPr>
            <w:rStyle w:val="Hipercze"/>
            <w:rFonts w:ascii="Arial"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3. Zamawiający będzie przekazywał Wykonawcom informacje za pośrednictwem platformazakupowa.pl. Informacje dotyczące odpowiedzi na pytania, zmiany specyfikacji, zmiany terminu składania i otwarcia </w:t>
      </w:r>
      <w:r w:rsidRPr="001D7D05">
        <w:rPr>
          <w:rFonts w:ascii="Arial" w:eastAsia="Times New Roman" w:hAnsi="Arial"/>
          <w:kern w:val="0"/>
          <w:sz w:val="22"/>
          <w:szCs w:val="22"/>
          <w:lang w:eastAsia="pl-PL" w:bidi="pl-PL"/>
        </w:rPr>
        <w:lastRenderedPageBreak/>
        <w:t>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33572926"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992B11">
        <w:rPr>
          <w:rFonts w:ascii="Arial" w:eastAsia="Times New Roman" w:hAnsi="Arial"/>
          <w:kern w:val="0"/>
          <w:sz w:val="22"/>
          <w:szCs w:val="22"/>
          <w:lang w:eastAsia="pl-PL" w:bidi="pl-PL"/>
        </w:rPr>
        <w:t>28</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6A1F012D"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992B11">
        <w:rPr>
          <w:rFonts w:ascii="Arial" w:eastAsia="CIDFont+F6" w:hAnsi="Arial" w:cs="Arial"/>
          <w:b/>
          <w:sz w:val="22"/>
          <w:szCs w:val="22"/>
          <w:lang w:eastAsia="pl-PL"/>
        </w:rPr>
        <w:t>13</w:t>
      </w:r>
      <w:r w:rsidR="00F45558">
        <w:rPr>
          <w:rFonts w:ascii="Arial" w:eastAsia="CIDFont+F6" w:hAnsi="Arial" w:cs="Arial"/>
          <w:b/>
          <w:sz w:val="22"/>
          <w:szCs w:val="22"/>
          <w:lang w:eastAsia="pl-PL"/>
        </w:rPr>
        <w:t>.0</w:t>
      </w:r>
      <w:r w:rsidR="00992B11">
        <w:rPr>
          <w:rFonts w:ascii="Arial" w:eastAsia="CIDFont+F6" w:hAnsi="Arial" w:cs="Arial"/>
          <w:b/>
          <w:sz w:val="22"/>
          <w:szCs w:val="22"/>
          <w:lang w:eastAsia="pl-PL"/>
        </w:rPr>
        <w:t>7</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38EDB69" w14:textId="427D16AE"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w:t>
      </w:r>
      <w:r w:rsidRPr="001D7D05">
        <w:rPr>
          <w:rFonts w:ascii="Arial" w:hAnsi="Arial"/>
          <w:kern w:val="0"/>
          <w:sz w:val="22"/>
          <w:szCs w:val="22"/>
          <w:lang w:eastAsia="pl-PL"/>
        </w:rPr>
        <w:lastRenderedPageBreak/>
        <w:t>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3DEA2A0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14.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5B38ED3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31F17DF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187B74C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533AF72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1827F08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F442E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5AD910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A28BD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CDBBB6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44B23C6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04C44CB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51497C74" w14:textId="77777777" w:rsidR="00942F05" w:rsidRDefault="00DA12D2" w:rsidP="00942F05">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53DBEA4D" w14:textId="3A4B99F7" w:rsidR="00992B11" w:rsidRPr="00645D61" w:rsidRDefault="00992B11" w:rsidP="00992B11">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645D61">
        <w:rPr>
          <w:rFonts w:ascii="Arial" w:eastAsia="CIDFont+F6" w:hAnsi="Arial" w:cs="Arial"/>
          <w:color w:val="000000"/>
          <w:sz w:val="22"/>
          <w:szCs w:val="22"/>
          <w:lang w:eastAsia="pl-PL"/>
        </w:rPr>
        <w:t xml:space="preserve">- Certyfikat CE lub równoważny </w:t>
      </w:r>
      <w:r w:rsidR="00131A04">
        <w:rPr>
          <w:rFonts w:ascii="Arial" w:eastAsia="CIDFont+F6" w:hAnsi="Arial" w:cs="Arial"/>
          <w:color w:val="000000"/>
          <w:sz w:val="22"/>
          <w:szCs w:val="22"/>
          <w:lang w:eastAsia="pl-PL"/>
        </w:rPr>
        <w:t xml:space="preserve">– dotyczy wszystkich pakietów </w:t>
      </w:r>
    </w:p>
    <w:p w14:paraId="36B864B0" w14:textId="1FCB662F" w:rsidR="00992B11" w:rsidRPr="00645D61" w:rsidRDefault="00992B11" w:rsidP="00992B11">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3B1C56">
        <w:rPr>
          <w:rFonts w:ascii="Arial" w:eastAsia="CIDFont+F6" w:hAnsi="Arial" w:cs="Arial"/>
          <w:color w:val="000000"/>
          <w:sz w:val="22"/>
          <w:szCs w:val="22"/>
          <w:lang w:eastAsia="pl-PL"/>
        </w:rPr>
        <w:t>- Autoryzacja producenta na serwis i sprzedaż zaoferowanego aparatu USG na terenie Polski</w:t>
      </w:r>
      <w:r w:rsidRPr="003B1C56">
        <w:rPr>
          <w:rFonts w:ascii="Arial" w:eastAsia="CIDFont+F6" w:hAnsi="Arial" w:cs="Arial"/>
          <w:b/>
          <w:bCs/>
          <w:color w:val="000000"/>
          <w:sz w:val="22"/>
          <w:szCs w:val="22"/>
          <w:lang w:eastAsia="pl-PL"/>
        </w:rPr>
        <w:t xml:space="preserve"> – dotyczy pakietu nr </w:t>
      </w:r>
      <w:r w:rsidR="00131A04" w:rsidRPr="003B1C56">
        <w:rPr>
          <w:rFonts w:ascii="Arial" w:eastAsia="CIDFont+F6" w:hAnsi="Arial" w:cs="Arial"/>
          <w:b/>
          <w:bCs/>
          <w:color w:val="000000"/>
          <w:sz w:val="22"/>
          <w:szCs w:val="22"/>
          <w:lang w:eastAsia="pl-PL"/>
        </w:rPr>
        <w:t>2</w:t>
      </w:r>
      <w:r w:rsidRPr="00645D61">
        <w:rPr>
          <w:rFonts w:ascii="Arial" w:eastAsia="CIDFont+F6" w:hAnsi="Arial" w:cs="Arial"/>
          <w:b/>
          <w:bCs/>
          <w:color w:val="000000"/>
          <w:sz w:val="22"/>
          <w:szCs w:val="22"/>
          <w:lang w:eastAsia="pl-PL"/>
        </w:rPr>
        <w:t xml:space="preserve"> </w:t>
      </w:r>
    </w:p>
    <w:p w14:paraId="313BEBC4" w14:textId="77777777" w:rsidR="00DA12D2" w:rsidRPr="00195218" w:rsidRDefault="00DA12D2" w:rsidP="00D62480">
      <w:pPr>
        <w:autoSpaceDE w:val="0"/>
        <w:adjustRightInd w:val="0"/>
        <w:spacing w:line="276" w:lineRule="auto"/>
        <w:jc w:val="both"/>
        <w:rPr>
          <w:rFonts w:ascii="Arial" w:hAnsi="Arial"/>
          <w:kern w:val="0"/>
          <w:sz w:val="22"/>
          <w:szCs w:val="22"/>
          <w:lang w:eastAsia="pl-PL"/>
        </w:rPr>
      </w:pPr>
      <w:r w:rsidRPr="00195218">
        <w:rPr>
          <w:rFonts w:ascii="Arial" w:hAnsi="Arial"/>
          <w:kern w:val="0"/>
          <w:sz w:val="22"/>
          <w:szCs w:val="22"/>
          <w:lang w:eastAsia="pl-PL"/>
        </w:rPr>
        <w:t xml:space="preserve">8) </w:t>
      </w:r>
      <w:r>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w:t>
      </w:r>
      <w:r w:rsidRPr="001D7D05">
        <w:rPr>
          <w:rFonts w:ascii="Arial" w:hAnsi="Arial"/>
          <w:kern w:val="0"/>
          <w:sz w:val="22"/>
          <w:szCs w:val="22"/>
          <w:lang w:eastAsia="pl-PL"/>
        </w:rPr>
        <w:lastRenderedPageBreak/>
        <w:t>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3C697F0D"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992B11">
        <w:rPr>
          <w:rFonts w:ascii="Arial" w:eastAsia="Arial" w:hAnsi="Arial"/>
          <w:b/>
          <w:kern w:val="0"/>
          <w:sz w:val="22"/>
          <w:szCs w:val="22"/>
          <w:lang w:eastAsia="pl-PL" w:bidi="ar-SA"/>
        </w:rPr>
        <w:t>15</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04</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71E2601E"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992B11">
        <w:rPr>
          <w:rFonts w:ascii="Arial" w:eastAsia="Arial" w:hAnsi="Arial" w:cs="Arial"/>
          <w:b/>
          <w:sz w:val="22"/>
          <w:szCs w:val="22"/>
          <w:lang w:eastAsia="pl-PL"/>
        </w:rPr>
        <w:t>15</w:t>
      </w:r>
      <w:r w:rsidR="00F43013">
        <w:rPr>
          <w:rFonts w:ascii="Arial" w:eastAsia="Arial" w:hAnsi="Arial" w:cs="Arial"/>
          <w:b/>
          <w:sz w:val="22"/>
          <w:szCs w:val="22"/>
          <w:lang w:eastAsia="pl-PL"/>
        </w:rPr>
        <w:t>.</w:t>
      </w:r>
      <w:r w:rsidR="00D62480">
        <w:rPr>
          <w:rFonts w:ascii="Arial" w:eastAsia="Arial" w:hAnsi="Arial" w:cs="Arial"/>
          <w:b/>
          <w:sz w:val="22"/>
          <w:szCs w:val="22"/>
          <w:lang w:eastAsia="pl-PL"/>
        </w:rPr>
        <w:t>04</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1D7D05">
        <w:rPr>
          <w:rFonts w:ascii="Arial" w:eastAsia="CIDFont+F6" w:hAnsi="Arial" w:cs="Arial"/>
          <w:sz w:val="22"/>
          <w:szCs w:val="22"/>
          <w:lang w:eastAsia="pl-PL"/>
        </w:rPr>
        <w:t>późn</w:t>
      </w:r>
      <w:proofErr w:type="spellEnd"/>
      <w:r w:rsidRPr="001D7D05">
        <w:rPr>
          <w:rFonts w:ascii="Arial" w:eastAsia="CIDFont+F6" w:hAnsi="Arial" w:cs="Arial"/>
          <w:sz w:val="22"/>
          <w:szCs w:val="22"/>
          <w:lang w:eastAsia="pl-PL"/>
        </w:rPr>
        <w:t xml:space="preserve">.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 xml:space="preserve">o której mowa w art. 225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77777777"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lang w:val="zh-CN"/>
        </w:rPr>
      </w:pPr>
      <w:r w:rsidRPr="001D7D05">
        <w:rPr>
          <w:rFonts w:ascii="Arial" w:eastAsia="Times New Roman" w:hAnsi="Arial"/>
          <w:b/>
          <w:sz w:val="22"/>
          <w:szCs w:val="22"/>
        </w:rPr>
        <w:lastRenderedPageBreak/>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60 %</w:t>
      </w:r>
    </w:p>
    <w:p w14:paraId="6A75636A" w14:textId="553969D2"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dostawy – </w:t>
      </w:r>
      <w:r w:rsidR="00D62480">
        <w:rPr>
          <w:rFonts w:ascii="Arial" w:eastAsiaTheme="minorEastAsia" w:hAnsi="Arial"/>
          <w:b/>
          <w:sz w:val="22"/>
          <w:szCs w:val="22"/>
        </w:rPr>
        <w:t>2</w:t>
      </w:r>
      <w:r w:rsidRPr="001D7D05">
        <w:rPr>
          <w:rFonts w:ascii="Arial" w:eastAsiaTheme="minorEastAsia" w:hAnsi="Arial"/>
          <w:b/>
          <w:sz w:val="22"/>
          <w:szCs w:val="22"/>
        </w:rPr>
        <w:t>0%</w:t>
      </w:r>
    </w:p>
    <w:p w14:paraId="3473CC86" w14:textId="3445E3C3"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Pr="005128D3">
        <w:rPr>
          <w:rFonts w:ascii="Arial" w:eastAsia="Calibri" w:hAnsi="Arial"/>
          <w:b/>
          <w:sz w:val="22"/>
          <w:szCs w:val="22"/>
        </w:rPr>
        <w:t xml:space="preserve">Okres gwarancji i rękojmi </w:t>
      </w:r>
      <w:r w:rsidRPr="001D7D05">
        <w:rPr>
          <w:rFonts w:ascii="Arial" w:eastAsia="Calibri" w:hAnsi="Arial"/>
          <w:b/>
          <w:sz w:val="22"/>
          <w:szCs w:val="22"/>
        </w:rPr>
        <w:t xml:space="preserve">– </w:t>
      </w:r>
      <w:r w:rsidR="00D62480">
        <w:rPr>
          <w:rFonts w:ascii="Arial" w:eastAsia="Calibri" w:hAnsi="Arial"/>
          <w:b/>
          <w:sz w:val="22"/>
          <w:szCs w:val="22"/>
        </w:rPr>
        <w:t>2</w:t>
      </w:r>
      <w:r w:rsidRPr="001D7D05">
        <w:rPr>
          <w:rFonts w:ascii="Arial" w:eastAsia="Calibri" w:hAnsi="Arial"/>
          <w:b/>
          <w:sz w:val="22"/>
          <w:szCs w:val="22"/>
        </w:rPr>
        <w:t>0%</w:t>
      </w:r>
    </w:p>
    <w:p w14:paraId="597A038D" w14:textId="77777777" w:rsidR="00DA12D2" w:rsidRPr="001D7D05" w:rsidRDefault="00DA12D2" w:rsidP="00DA12D2">
      <w:pPr>
        <w:suppressAutoHyphens w:val="0"/>
        <w:spacing w:line="276" w:lineRule="auto"/>
        <w:ind w:left="644"/>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2"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13118879" w14:textId="77777777" w:rsidR="00DA12D2" w:rsidRPr="001D7D05" w:rsidRDefault="00DA12D2" w:rsidP="00DA12D2">
      <w:pPr>
        <w:spacing w:line="276" w:lineRule="auto"/>
        <w:ind w:left="3116"/>
        <w:rPr>
          <w:rFonts w:ascii="Arial" w:hAnsi="Arial"/>
          <w:sz w:val="22"/>
          <w:szCs w:val="22"/>
        </w:rPr>
      </w:pPr>
      <w:bookmarkStart w:id="3"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3"/>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25004378" w14:textId="77777777"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77777777"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42922767" w14:textId="3686816C"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D62480">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7BFE84D0" w14:textId="77777777"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083EED95"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58</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D62480">
        <w:rPr>
          <w:rFonts w:ascii="Arial" w:eastAsia="Times New Roman" w:hAnsi="Arial"/>
          <w:b/>
          <w:color w:val="000000" w:themeColor="text1"/>
          <w:sz w:val="22"/>
          <w:szCs w:val="22"/>
        </w:rPr>
        <w:t>70</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D62480">
        <w:rPr>
          <w:rFonts w:ascii="Arial" w:eastAsia="Times New Roman" w:hAnsi="Arial"/>
          <w:b/>
          <w:bCs/>
          <w:color w:val="000000" w:themeColor="text1"/>
          <w:sz w:val="22"/>
          <w:szCs w:val="22"/>
        </w:rPr>
        <w:t>70</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77777777" w:rsidR="00DA12D2" w:rsidRPr="00F94469"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5A3F771A" w14:textId="77777777" w:rsidR="00DA12D2" w:rsidRPr="00B01618" w:rsidRDefault="00DA12D2" w:rsidP="00DA12D2">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4FC8F650" w14:textId="77777777" w:rsidR="00DA12D2" w:rsidRPr="00B01618" w:rsidRDefault="00DA12D2" w:rsidP="00DA12D2">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6B9E3B0B" w14:textId="1D23D719" w:rsidR="00DA12D2" w:rsidRPr="00B01618" w:rsidRDefault="00DA12D2" w:rsidP="00DA12D2">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D62480">
        <w:rPr>
          <w:rFonts w:ascii="Arial" w:eastAsia="Calibri" w:hAnsi="Arial"/>
          <w:sz w:val="22"/>
          <w:szCs w:val="22"/>
        </w:rPr>
        <w:t>2</w:t>
      </w:r>
      <w:r w:rsidRPr="00B01618">
        <w:rPr>
          <w:rFonts w:ascii="Arial" w:eastAsia="Calibri" w:hAnsi="Arial"/>
          <w:sz w:val="22"/>
          <w:szCs w:val="22"/>
        </w:rPr>
        <w:t>0 punktów</w:t>
      </w:r>
    </w:p>
    <w:p w14:paraId="304C08FD" w14:textId="77777777" w:rsidR="00DA12D2" w:rsidRPr="00B01618" w:rsidRDefault="00DA12D2" w:rsidP="00DA12D2">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70018C47" w14:textId="77777777" w:rsidR="00DA12D2" w:rsidRPr="00B01618" w:rsidRDefault="00DA12D2" w:rsidP="00DA12D2">
      <w:pPr>
        <w:ind w:left="284"/>
        <w:jc w:val="center"/>
        <w:rPr>
          <w:rFonts w:ascii="Arial" w:eastAsia="Calibri" w:hAnsi="Arial"/>
          <w:sz w:val="22"/>
          <w:szCs w:val="22"/>
        </w:rPr>
      </w:pPr>
    </w:p>
    <w:p w14:paraId="066F6CBE" w14:textId="77777777" w:rsidR="00DA12D2" w:rsidRPr="00B01618" w:rsidRDefault="00DA12D2" w:rsidP="00DA12D2">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7BAB6CB1" w14:textId="77777777" w:rsidR="00DA12D2" w:rsidRDefault="00DA12D2" w:rsidP="00DA12D2">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77777777"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lastRenderedPageBreak/>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Umowa zostanie zawarta w formie pisemnej w terminach określonych w art. 264 ustawy </w:t>
      </w:r>
      <w:proofErr w:type="spellStart"/>
      <w:r w:rsidRPr="001D7D05">
        <w:rPr>
          <w:rFonts w:ascii="Arial" w:eastAsia="ArialMT-Identity-H" w:hAnsi="Arial" w:cs="Arial"/>
          <w:sz w:val="22"/>
          <w:szCs w:val="22"/>
          <w:lang w:eastAsia="pl-PL"/>
        </w:rPr>
        <w:t>Pzp</w:t>
      </w:r>
      <w:proofErr w:type="spellEnd"/>
      <w:r w:rsidRPr="001D7D05">
        <w:rPr>
          <w:rFonts w:ascii="Arial" w:eastAsia="ArialMT-Identity-H" w:hAnsi="Arial" w:cs="Arial"/>
          <w:sz w:val="22"/>
          <w:szCs w:val="22"/>
          <w:lang w:eastAsia="pl-PL"/>
        </w:rPr>
        <w:t>.</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Tomasz Ślusarczyk,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proofErr w:type="spellStart"/>
      <w:r w:rsidRPr="001D7D05">
        <w:rPr>
          <w:rFonts w:ascii="Arial" w:hAnsi="Arial"/>
          <w:sz w:val="22"/>
          <w:szCs w:val="22"/>
          <w:lang w:val="en-US" w:eastAsia="pl-PL"/>
        </w:rPr>
        <w:t>Dz.U</w:t>
      </w:r>
      <w:proofErr w:type="spellEnd"/>
      <w:r w:rsidRPr="001D7D05">
        <w:rPr>
          <w:rFonts w:ascii="Arial" w:hAnsi="Arial"/>
          <w:sz w:val="22"/>
          <w:szCs w:val="22"/>
          <w:lang w:val="en-US" w:eastAsia="pl-PL"/>
        </w:rPr>
        <w:t xml:space="preserve">. z 2022 r., </w:t>
      </w:r>
      <w:proofErr w:type="spellStart"/>
      <w:r w:rsidRPr="001D7D05">
        <w:rPr>
          <w:rFonts w:ascii="Arial" w:hAnsi="Arial"/>
          <w:sz w:val="22"/>
          <w:szCs w:val="22"/>
          <w:lang w:val="en-US" w:eastAsia="pl-PL"/>
        </w:rPr>
        <w:t>poz</w:t>
      </w:r>
      <w:proofErr w:type="spellEnd"/>
      <w:r w:rsidRPr="001D7D05">
        <w:rPr>
          <w:rFonts w:ascii="Arial" w:hAnsi="Arial"/>
          <w:sz w:val="22"/>
          <w:szCs w:val="22"/>
          <w:lang w:val="en-US" w:eastAsia="pl-PL"/>
        </w:rPr>
        <w:t>. 1710</w:t>
      </w:r>
      <w:r w:rsidRPr="001D7D05">
        <w:rPr>
          <w:rFonts w:ascii="Arial" w:hAnsi="Arial"/>
          <w:sz w:val="22"/>
          <w:szCs w:val="22"/>
        </w:rPr>
        <w:t xml:space="preserve">), dalej „ustawa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Pani/Pana dane osobowe będą przechowywane, zgodnie z art. 97 ust. 1 ustawy </w:t>
      </w:r>
      <w:proofErr w:type="spellStart"/>
      <w:r w:rsidRPr="001D7D05">
        <w:rPr>
          <w:rFonts w:ascii="Arial" w:hAnsi="Arial"/>
          <w:sz w:val="22"/>
          <w:szCs w:val="22"/>
        </w:rPr>
        <w:t>Pzp</w:t>
      </w:r>
      <w:proofErr w:type="spellEnd"/>
      <w:r w:rsidRPr="001D7D05">
        <w:rPr>
          <w:rFonts w:ascii="Arial" w:hAnsi="Arial"/>
          <w:sz w:val="22"/>
          <w:szCs w:val="22"/>
        </w:rPr>
        <w:t xml:space="preserve">,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w:t>
      </w:r>
      <w:proofErr w:type="spellStart"/>
      <w:r w:rsidRPr="001D7D05">
        <w:rPr>
          <w:rFonts w:ascii="Arial" w:hAnsi="Arial"/>
          <w:sz w:val="22"/>
          <w:szCs w:val="22"/>
        </w:rPr>
        <w:t>Pzp</w:t>
      </w:r>
      <w:proofErr w:type="spellEnd"/>
      <w:r w:rsidRPr="001D7D05">
        <w:rPr>
          <w:rFonts w:ascii="Arial" w:hAnsi="Arial"/>
          <w:sz w:val="22"/>
          <w:szCs w:val="22"/>
        </w:rPr>
        <w:t xml:space="preserve">, związanym z udziałem </w:t>
      </w:r>
      <w:r w:rsidRPr="001D7D05">
        <w:rPr>
          <w:rFonts w:ascii="Arial" w:hAnsi="Arial"/>
          <w:sz w:val="22"/>
          <w:szCs w:val="22"/>
        </w:rPr>
        <w:br/>
        <w:t xml:space="preserve">w postępowaniu o udzielenie zamówienia publicznego; konsekwencje niepodania określonych danych wynikają z ustawy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lastRenderedPageBreak/>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lastRenderedPageBreak/>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148E5C08" w:rsidR="00DA12D2" w:rsidRPr="00992B11"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w:t>
      </w:r>
      <w:r w:rsidR="00992B11">
        <w:rPr>
          <w:rFonts w:ascii="Arial" w:hAnsi="Arial" w:cs="Arial"/>
          <w:b/>
          <w:bCs/>
          <w:sz w:val="22"/>
          <w:szCs w:val="22"/>
        </w:rPr>
        <w:t>A</w:t>
      </w:r>
      <w:r w:rsidRPr="001D7D05">
        <w:rPr>
          <w:rFonts w:ascii="Arial" w:hAnsi="Arial" w:cs="Arial"/>
          <w:b/>
          <w:bCs/>
          <w:sz w:val="22"/>
          <w:szCs w:val="22"/>
        </w:rPr>
        <w:t xml:space="preserve"> do SWZ,</w:t>
      </w:r>
    </w:p>
    <w:p w14:paraId="62F83483" w14:textId="1B94265C" w:rsidR="00992B11" w:rsidRPr="00992B11" w:rsidRDefault="00992B11" w:rsidP="00992B11">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w:t>
      </w:r>
      <w:r>
        <w:rPr>
          <w:rFonts w:ascii="Arial" w:hAnsi="Arial" w:cs="Arial"/>
          <w:b/>
          <w:bCs/>
          <w:sz w:val="22"/>
          <w:szCs w:val="22"/>
        </w:rPr>
        <w:t>B</w:t>
      </w:r>
      <w:r w:rsidRPr="001D7D05">
        <w:rPr>
          <w:rFonts w:ascii="Arial" w:hAnsi="Arial" w:cs="Arial"/>
          <w:b/>
          <w:bCs/>
          <w:sz w:val="22"/>
          <w:szCs w:val="22"/>
        </w:rPr>
        <w:t xml:space="preserve">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76F87A23" w14:textId="4358D337" w:rsidR="00F616F9" w:rsidRPr="00F616F9" w:rsidRDefault="00F616F9" w:rsidP="00F616F9">
      <w:pPr>
        <w:pStyle w:val="Akapitzlist"/>
        <w:widowControl w:val="0"/>
        <w:numPr>
          <w:ilvl w:val="0"/>
          <w:numId w:val="34"/>
        </w:numPr>
        <w:spacing w:line="276" w:lineRule="auto"/>
        <w:ind w:left="714" w:hanging="357"/>
        <w:jc w:val="both"/>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w:t>
      </w:r>
      <w:r>
        <w:rPr>
          <w:rFonts w:ascii="Arial" w:hAnsi="Arial" w:cs="Arial"/>
          <w:b/>
          <w:bCs/>
          <w:sz w:val="22"/>
          <w:szCs w:val="22"/>
        </w:rPr>
        <w:t>4A</w:t>
      </w:r>
      <w:r w:rsidRPr="00820FEB">
        <w:rPr>
          <w:rFonts w:ascii="Arial" w:hAnsi="Arial" w:cs="Arial"/>
          <w:b/>
          <w:bCs/>
          <w:sz w:val="22"/>
          <w:szCs w:val="22"/>
        </w:rPr>
        <w:t xml:space="preserve"> do SWZ</w:t>
      </w:r>
    </w:p>
    <w:p w14:paraId="2A7E1C2B"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cs="Arial"/>
          <w:sz w:val="22"/>
          <w:szCs w:val="22"/>
        </w:rPr>
        <w:t>późn</w:t>
      </w:r>
      <w:proofErr w:type="spellEnd"/>
      <w:r w:rsidRPr="001D7D05">
        <w:rPr>
          <w:rFonts w:ascii="Arial" w:hAnsi="Arial" w:cs="Arial"/>
          <w:sz w:val="22"/>
          <w:szCs w:val="22"/>
        </w:rPr>
        <w:t xml:space="preserve">. zm.) – </w:t>
      </w:r>
      <w:r w:rsidRPr="001D7D05">
        <w:rPr>
          <w:rFonts w:ascii="Arial" w:hAnsi="Arial" w:cs="Arial"/>
          <w:b/>
          <w:bCs/>
          <w:sz w:val="22"/>
          <w:szCs w:val="22"/>
        </w:rPr>
        <w:t>załącznik nr 5 do SWZ</w:t>
      </w:r>
      <w:r w:rsidRPr="001D7D05">
        <w:rPr>
          <w:rFonts w:ascii="Arial" w:hAnsi="Arial" w:cs="Arial"/>
          <w:sz w:val="22"/>
          <w:szCs w:val="22"/>
        </w:rPr>
        <w:t>,</w:t>
      </w:r>
    </w:p>
    <w:p w14:paraId="430B6B79"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w:t>
      </w:r>
      <w:proofErr w:type="spellStart"/>
      <w:r w:rsidRPr="001D7D05">
        <w:rPr>
          <w:rFonts w:ascii="Arial" w:hAnsi="Arial" w:cs="Arial"/>
          <w:sz w:val="22"/>
          <w:szCs w:val="22"/>
        </w:rPr>
        <w:t>Pzp</w:t>
      </w:r>
      <w:proofErr w:type="spellEnd"/>
      <w:r w:rsidRPr="001D7D05">
        <w:rPr>
          <w:rFonts w:ascii="Arial" w:hAnsi="Arial" w:cs="Arial"/>
          <w:sz w:val="22"/>
          <w:szCs w:val="22"/>
        </w:rPr>
        <w:t xml:space="preserve"> – </w:t>
      </w:r>
      <w:r w:rsidRPr="001D7D05">
        <w:rPr>
          <w:rFonts w:ascii="Arial" w:hAnsi="Arial" w:cs="Arial"/>
          <w:b/>
          <w:bCs/>
          <w:sz w:val="22"/>
          <w:szCs w:val="22"/>
        </w:rPr>
        <w:t>załącznik nr 6 do SWZ,</w:t>
      </w:r>
    </w:p>
    <w:p w14:paraId="2826D03C" w14:textId="77777777" w:rsidR="00DA12D2" w:rsidRPr="00240C27"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załącznik nr 7 do SWZ,</w:t>
      </w: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4" w:name="_Hlk157667935"/>
    <w:bookmarkStart w:id="5"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4"/>
    <w:bookmarkEnd w:id="5"/>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951808"/>
    <w:multiLevelType w:val="hybridMultilevel"/>
    <w:tmpl w:val="58007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8"/>
  </w:num>
  <w:num w:numId="2" w16cid:durableId="91709443">
    <w:abstractNumId w:val="15"/>
  </w:num>
  <w:num w:numId="3" w16cid:durableId="452133754">
    <w:abstractNumId w:val="40"/>
  </w:num>
  <w:num w:numId="4" w16cid:durableId="178398934">
    <w:abstractNumId w:val="38"/>
  </w:num>
  <w:num w:numId="5" w16cid:durableId="377703051">
    <w:abstractNumId w:val="0"/>
  </w:num>
  <w:num w:numId="6" w16cid:durableId="2001694804">
    <w:abstractNumId w:val="39"/>
  </w:num>
  <w:num w:numId="7" w16cid:durableId="696467368">
    <w:abstractNumId w:val="30"/>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7"/>
  </w:num>
  <w:num w:numId="13" w16cid:durableId="623653771">
    <w:abstractNumId w:val="24"/>
  </w:num>
  <w:num w:numId="14" w16cid:durableId="354772376">
    <w:abstractNumId w:val="3"/>
  </w:num>
  <w:num w:numId="15" w16cid:durableId="910312474">
    <w:abstractNumId w:val="29"/>
  </w:num>
  <w:num w:numId="16" w16cid:durableId="1678538876">
    <w:abstractNumId w:val="19"/>
  </w:num>
  <w:num w:numId="17" w16cid:durableId="1981153967">
    <w:abstractNumId w:val="31"/>
  </w:num>
  <w:num w:numId="18" w16cid:durableId="452789355">
    <w:abstractNumId w:val="12"/>
  </w:num>
  <w:num w:numId="19" w16cid:durableId="550773134">
    <w:abstractNumId w:val="13"/>
  </w:num>
  <w:num w:numId="20" w16cid:durableId="236869824">
    <w:abstractNumId w:val="36"/>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6"/>
  </w:num>
  <w:num w:numId="27" w16cid:durableId="1078164832">
    <w:abstractNumId w:val="11"/>
  </w:num>
  <w:num w:numId="28" w16cid:durableId="328024014">
    <w:abstractNumId w:val="21"/>
  </w:num>
  <w:num w:numId="29" w16cid:durableId="11734524">
    <w:abstractNumId w:val="35"/>
  </w:num>
  <w:num w:numId="30" w16cid:durableId="638658151">
    <w:abstractNumId w:val="33"/>
  </w:num>
  <w:num w:numId="31" w16cid:durableId="130708656">
    <w:abstractNumId w:val="32"/>
  </w:num>
  <w:num w:numId="32" w16cid:durableId="1277103287">
    <w:abstractNumId w:val="34"/>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 w:numId="41" w16cid:durableId="2718632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7F68"/>
    <w:rsid w:val="00090114"/>
    <w:rsid w:val="0009194B"/>
    <w:rsid w:val="00091D05"/>
    <w:rsid w:val="000966B3"/>
    <w:rsid w:val="001010EF"/>
    <w:rsid w:val="00121241"/>
    <w:rsid w:val="00131A04"/>
    <w:rsid w:val="001552AB"/>
    <w:rsid w:val="00156BAB"/>
    <w:rsid w:val="00185B99"/>
    <w:rsid w:val="001A0249"/>
    <w:rsid w:val="001E6F8D"/>
    <w:rsid w:val="002447D1"/>
    <w:rsid w:val="0024545C"/>
    <w:rsid w:val="002A593D"/>
    <w:rsid w:val="002C6DA1"/>
    <w:rsid w:val="002D5975"/>
    <w:rsid w:val="002E744F"/>
    <w:rsid w:val="0031372C"/>
    <w:rsid w:val="003B1C56"/>
    <w:rsid w:val="003D48B5"/>
    <w:rsid w:val="003E27CF"/>
    <w:rsid w:val="00415137"/>
    <w:rsid w:val="004379BB"/>
    <w:rsid w:val="00464DC6"/>
    <w:rsid w:val="004B19A1"/>
    <w:rsid w:val="004C61FD"/>
    <w:rsid w:val="004D3253"/>
    <w:rsid w:val="00514B1D"/>
    <w:rsid w:val="00525B45"/>
    <w:rsid w:val="005319FB"/>
    <w:rsid w:val="00573797"/>
    <w:rsid w:val="005850A5"/>
    <w:rsid w:val="005F3452"/>
    <w:rsid w:val="00621336"/>
    <w:rsid w:val="00645D61"/>
    <w:rsid w:val="006A0C0F"/>
    <w:rsid w:val="006C20BB"/>
    <w:rsid w:val="006C26F9"/>
    <w:rsid w:val="006C59E2"/>
    <w:rsid w:val="006D47B9"/>
    <w:rsid w:val="00751007"/>
    <w:rsid w:val="0076272F"/>
    <w:rsid w:val="00763387"/>
    <w:rsid w:val="007A24FF"/>
    <w:rsid w:val="007B0F5D"/>
    <w:rsid w:val="007B4671"/>
    <w:rsid w:val="00805CF4"/>
    <w:rsid w:val="00821C81"/>
    <w:rsid w:val="008308DB"/>
    <w:rsid w:val="008D5ED3"/>
    <w:rsid w:val="00930440"/>
    <w:rsid w:val="00942F05"/>
    <w:rsid w:val="00956F12"/>
    <w:rsid w:val="00992B11"/>
    <w:rsid w:val="009B4CBD"/>
    <w:rsid w:val="009C5646"/>
    <w:rsid w:val="00A0082C"/>
    <w:rsid w:val="00A15DE1"/>
    <w:rsid w:val="00AA30FD"/>
    <w:rsid w:val="00AB1EEB"/>
    <w:rsid w:val="00AD0889"/>
    <w:rsid w:val="00AF06EF"/>
    <w:rsid w:val="00B41287"/>
    <w:rsid w:val="00B41A21"/>
    <w:rsid w:val="00B5128F"/>
    <w:rsid w:val="00B564EA"/>
    <w:rsid w:val="00B7511F"/>
    <w:rsid w:val="00C14DAE"/>
    <w:rsid w:val="00C2159F"/>
    <w:rsid w:val="00C27980"/>
    <w:rsid w:val="00C37192"/>
    <w:rsid w:val="00C51A7E"/>
    <w:rsid w:val="00C96F02"/>
    <w:rsid w:val="00CA3E56"/>
    <w:rsid w:val="00CD20A2"/>
    <w:rsid w:val="00CE6A44"/>
    <w:rsid w:val="00D31141"/>
    <w:rsid w:val="00D62480"/>
    <w:rsid w:val="00D777B2"/>
    <w:rsid w:val="00D922BD"/>
    <w:rsid w:val="00D94299"/>
    <w:rsid w:val="00DA12D2"/>
    <w:rsid w:val="00DB628E"/>
    <w:rsid w:val="00DD39F6"/>
    <w:rsid w:val="00E1759C"/>
    <w:rsid w:val="00E206FF"/>
    <w:rsid w:val="00EA0BCB"/>
    <w:rsid w:val="00F105F6"/>
    <w:rsid w:val="00F37E8F"/>
    <w:rsid w:val="00F43013"/>
    <w:rsid w:val="00F45558"/>
    <w:rsid w:val="00F616F9"/>
    <w:rsid w:val="00F94469"/>
    <w:rsid w:val="00FB1A5D"/>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Normalny"/>
    <w:link w:val="AkapitzlistZnak"/>
    <w:uiPriority w:val="34"/>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wiercie"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20</Pages>
  <Words>8583</Words>
  <Characters>51504</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Aleksandra Skóra</cp:lastModifiedBy>
  <cp:revision>13</cp:revision>
  <cp:lastPrinted>2023-07-11T13:07:00Z</cp:lastPrinted>
  <dcterms:created xsi:type="dcterms:W3CDTF">2023-09-13T12:25:00Z</dcterms:created>
  <dcterms:modified xsi:type="dcterms:W3CDTF">2024-03-14T11:56:00Z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