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3BDCB" w14:textId="2212200B" w:rsidR="008441E6" w:rsidRPr="00A30FCD" w:rsidRDefault="008441E6" w:rsidP="008441E6">
      <w:pPr>
        <w:suppressAutoHyphens/>
        <w:spacing w:after="200" w:line="276" w:lineRule="auto"/>
        <w:jc w:val="right"/>
        <w:rPr>
          <w:rFonts w:ascii="Calibri" w:eastAsiaTheme="minorEastAsia" w:hAnsi="Calibri" w:cs="Calibri"/>
          <w:b/>
          <w:kern w:val="1"/>
          <w:lang w:eastAsia="hi-IN" w:bidi="hi-IN"/>
        </w:rPr>
      </w:pPr>
      <w:r w:rsidRPr="00A30FCD">
        <w:rPr>
          <w:rFonts w:ascii="Calibri" w:eastAsiaTheme="minorEastAsia" w:hAnsi="Calibri" w:cs="Calibri"/>
          <w:b/>
          <w:kern w:val="1"/>
          <w:lang w:eastAsia="hi-IN" w:bidi="hi-IN"/>
        </w:rPr>
        <w:t xml:space="preserve">Załącznik nr </w:t>
      </w:r>
      <w:r w:rsidR="00A30FCD" w:rsidRPr="00A30FCD">
        <w:rPr>
          <w:rFonts w:ascii="Calibri" w:eastAsiaTheme="minorEastAsia" w:hAnsi="Calibri" w:cs="Calibri"/>
          <w:b/>
          <w:kern w:val="1"/>
          <w:lang w:eastAsia="hi-IN" w:bidi="hi-IN"/>
        </w:rPr>
        <w:t>10</w:t>
      </w:r>
      <w:r w:rsidRPr="00A30FCD">
        <w:rPr>
          <w:rFonts w:ascii="Calibri" w:eastAsiaTheme="minorEastAsia" w:hAnsi="Calibri" w:cs="Calibri"/>
          <w:b/>
          <w:kern w:val="1"/>
          <w:lang w:eastAsia="hi-IN" w:bidi="hi-IN"/>
        </w:rPr>
        <w:t xml:space="preserve"> do SWZ</w:t>
      </w:r>
    </w:p>
    <w:tbl>
      <w:tblPr>
        <w:tblW w:w="138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3"/>
        <w:gridCol w:w="8497"/>
      </w:tblGrid>
      <w:tr w:rsidR="00EC1C9B" w:rsidRPr="00A30FCD" w14:paraId="50F98EDD" w14:textId="77777777" w:rsidTr="00A30FCD">
        <w:trPr>
          <w:trHeight w:val="66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0297" w14:textId="77777777" w:rsidR="00A30FCD" w:rsidRDefault="00A30FCD" w:rsidP="00820464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</w:p>
          <w:p w14:paraId="3F85B3A1" w14:textId="1E2BED79" w:rsidR="00A30FCD" w:rsidRDefault="00A30FCD" w:rsidP="00820464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……………………………………………………………………………………………………………………..</w:t>
            </w:r>
          </w:p>
          <w:p w14:paraId="4B9DC894" w14:textId="7D6A2734" w:rsidR="00D16CAD" w:rsidRPr="00A30FCD" w:rsidRDefault="00EC1C9B" w:rsidP="00A30FCD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A30FC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 xml:space="preserve">(nazwa i adres Wykonawcy/Wykonawców wspólnie ubiegających </w:t>
            </w:r>
            <w:r w:rsidR="00A30FC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br/>
            </w:r>
            <w:r w:rsidRPr="00A30FC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się o udzielenie zamówienia)</w:t>
            </w:r>
          </w:p>
        </w:tc>
        <w:tc>
          <w:tcPr>
            <w:tcW w:w="8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C40AA" w14:textId="77777777" w:rsidR="00EC1C9B" w:rsidRPr="00A30FCD" w:rsidRDefault="00EC1C9B" w:rsidP="00A30FCD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pl-PL"/>
              </w:rPr>
            </w:pPr>
            <w:r w:rsidRPr="00A30FCD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WYKAZ </w:t>
            </w:r>
            <w:r w:rsidRPr="00A30FCD">
              <w:rPr>
                <w:rFonts w:ascii="Calibri" w:eastAsia="Times New Roman" w:hAnsi="Calibri" w:cs="Calibri"/>
                <w:b/>
                <w:bCs/>
                <w:caps/>
                <w:lang w:eastAsia="pl-PL"/>
              </w:rPr>
              <w:t>usług – WARUNKI UDZIAŁU W POSTĘPOWANIU</w:t>
            </w:r>
          </w:p>
          <w:p w14:paraId="31597C12" w14:textId="77777777" w:rsidR="00D16CAD" w:rsidRPr="00A30FCD" w:rsidRDefault="00D16CAD" w:rsidP="00820464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</w:tbl>
    <w:p w14:paraId="10EA8356" w14:textId="77777777" w:rsidR="00EC1C9B" w:rsidRPr="00A30FCD" w:rsidRDefault="00EC1C9B" w:rsidP="008441E6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kern w:val="1"/>
          <w:lang w:eastAsia="hi-IN" w:bidi="hi-IN"/>
        </w:rPr>
      </w:pPr>
    </w:p>
    <w:p w14:paraId="0FBD45EC" w14:textId="2F21EE3C" w:rsidR="008441E6" w:rsidRPr="003C459C" w:rsidRDefault="008441E6" w:rsidP="00A30FCD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3C459C">
        <w:rPr>
          <w:rFonts w:ascii="Calibri" w:eastAsia="Times New Roman" w:hAnsi="Calibri" w:cs="Calibri"/>
          <w:color w:val="000000"/>
          <w:kern w:val="1"/>
          <w:lang w:eastAsia="hi-IN" w:bidi="hi-IN"/>
        </w:rPr>
        <w:t>W nawiązaniu do postępowania o udzielenie zamówienia publicznego pn.: „</w:t>
      </w:r>
      <w:r w:rsidR="00023D1A" w:rsidRPr="002E380E">
        <w:rPr>
          <w:rFonts w:ascii="Calibri" w:hAnsi="Calibri" w:cs="Calibri"/>
          <w:b/>
          <w:bCs/>
        </w:rPr>
        <w:t>Ś</w:t>
      </w:r>
      <w:r w:rsidR="00023D1A">
        <w:rPr>
          <w:rFonts w:ascii="Calibri" w:hAnsi="Calibri" w:cs="Calibri"/>
          <w:b/>
          <w:bCs/>
        </w:rPr>
        <w:t xml:space="preserve">wiadczenie </w:t>
      </w:r>
      <w:r w:rsidR="00023D1A" w:rsidRPr="002E380E">
        <w:rPr>
          <w:rFonts w:ascii="Calibri" w:hAnsi="Calibri" w:cs="Calibri"/>
          <w:b/>
          <w:bCs/>
        </w:rPr>
        <w:t>usługi polegającej na przeprowadzeniu kontroli trwałości projektów w ramach Programu Operacyjnego Polska Cyfrowa na lata 2014-2020</w:t>
      </w:r>
      <w:r w:rsidRPr="003C459C">
        <w:rPr>
          <w:rFonts w:ascii="Calibri" w:eastAsia="Times New Roman" w:hAnsi="Calibri" w:cs="Calibri"/>
          <w:b/>
          <w:bCs/>
          <w:lang w:eastAsia="ar-SA"/>
        </w:rPr>
        <w:t xml:space="preserve">” </w:t>
      </w:r>
      <w:r w:rsidRPr="003C459C">
        <w:rPr>
          <w:rFonts w:ascii="Calibri" w:eastAsia="Times New Roman" w:hAnsi="Calibri" w:cs="Calibri"/>
          <w:bCs/>
          <w:lang w:eastAsia="ar-SA"/>
        </w:rPr>
        <w:t>(nr postępowania ZP/</w:t>
      </w:r>
      <w:r w:rsidR="00023D1A">
        <w:rPr>
          <w:rFonts w:ascii="Calibri" w:eastAsia="Times New Roman" w:hAnsi="Calibri" w:cs="Calibri"/>
          <w:bCs/>
          <w:lang w:eastAsia="ar-SA"/>
        </w:rPr>
        <w:t>5</w:t>
      </w:r>
      <w:r w:rsidRPr="003C459C">
        <w:rPr>
          <w:rFonts w:ascii="Calibri" w:eastAsia="Times New Roman" w:hAnsi="Calibri" w:cs="Calibri"/>
          <w:bCs/>
          <w:lang w:eastAsia="ar-SA"/>
        </w:rPr>
        <w:t>/202</w:t>
      </w:r>
      <w:r w:rsidR="00023D1A">
        <w:rPr>
          <w:rFonts w:ascii="Calibri" w:eastAsia="Times New Roman" w:hAnsi="Calibri" w:cs="Calibri"/>
          <w:bCs/>
          <w:lang w:eastAsia="ar-SA"/>
        </w:rPr>
        <w:t>4</w:t>
      </w:r>
      <w:r w:rsidR="00A30FCD" w:rsidRPr="003C459C">
        <w:rPr>
          <w:rFonts w:ascii="Calibri" w:eastAsia="Times New Roman" w:hAnsi="Calibri" w:cs="Calibri"/>
          <w:bCs/>
          <w:lang w:eastAsia="ar-SA"/>
        </w:rPr>
        <w:t>/JK</w:t>
      </w:r>
      <w:r w:rsidRPr="003C459C">
        <w:rPr>
          <w:rFonts w:ascii="Calibri" w:eastAsia="Times New Roman" w:hAnsi="Calibri" w:cs="Calibri"/>
          <w:bCs/>
          <w:lang w:eastAsia="ar-SA"/>
        </w:rPr>
        <w:t>),</w:t>
      </w:r>
      <w:r w:rsidRPr="003C459C">
        <w:rPr>
          <w:rFonts w:ascii="Calibri" w:eastAsia="Times New Roman" w:hAnsi="Calibri" w:cs="Calibri"/>
          <w:b/>
          <w:color w:val="000000"/>
          <w:kern w:val="1"/>
          <w:lang w:eastAsia="hi-IN" w:bidi="hi-IN"/>
        </w:rPr>
        <w:t xml:space="preserve"> </w:t>
      </w:r>
      <w:r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>niniejszym oświadczam, że spełniam warun</w:t>
      </w:r>
      <w:r w:rsidR="003D0CE5"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 xml:space="preserve">ek </w:t>
      </w:r>
      <w:r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>udziału w postępowaniu określon</w:t>
      </w:r>
      <w:r w:rsidR="003D0CE5"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>y</w:t>
      </w:r>
      <w:r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 xml:space="preserve"> w rozdziale VI ust. </w:t>
      </w:r>
      <w:r w:rsidR="00A30FCD"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>2</w:t>
      </w:r>
      <w:r w:rsidR="00A14B6A"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 xml:space="preserve"> pkt </w:t>
      </w:r>
      <w:r w:rsidR="00A30FCD"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>4 lit. a)</w:t>
      </w:r>
      <w:r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 xml:space="preserve"> SWZ</w:t>
      </w:r>
      <w:r w:rsidRPr="003C459C">
        <w:rPr>
          <w:rFonts w:ascii="Calibri" w:eastAsia="Times New Roman" w:hAnsi="Calibri" w:cs="Calibri"/>
          <w:color w:val="000000"/>
          <w:kern w:val="1"/>
          <w:lang w:eastAsia="hi-IN" w:bidi="hi-IN"/>
        </w:rPr>
        <w:t>.</w:t>
      </w:r>
    </w:p>
    <w:p w14:paraId="333DE507" w14:textId="47747F04" w:rsidR="008441E6" w:rsidRPr="003C459C" w:rsidRDefault="008441E6" w:rsidP="00A30FCD">
      <w:pPr>
        <w:suppressAutoHyphens/>
        <w:spacing w:before="200" w:after="200" w:line="276" w:lineRule="auto"/>
        <w:rPr>
          <w:rFonts w:ascii="Calibri" w:eastAsiaTheme="minorEastAsia" w:hAnsi="Calibri" w:cs="Calibri"/>
          <w:bCs/>
          <w:kern w:val="1"/>
          <w:lang w:eastAsia="hi-IN" w:bidi="hi-IN"/>
        </w:rPr>
      </w:pPr>
      <w:r w:rsidRPr="003C459C">
        <w:rPr>
          <w:rFonts w:ascii="Calibri" w:eastAsiaTheme="minorEastAsia" w:hAnsi="Calibri" w:cs="Calibri"/>
          <w:bCs/>
          <w:color w:val="000000"/>
          <w:kern w:val="1"/>
          <w:lang w:eastAsia="hi-IN" w:bidi="hi-IN"/>
        </w:rPr>
        <w:t>Na potwierdzenie spełniania ww. warunk</w:t>
      </w:r>
      <w:r w:rsidR="003D0CE5" w:rsidRPr="003C459C">
        <w:rPr>
          <w:rFonts w:ascii="Calibri" w:eastAsiaTheme="minorEastAsia" w:hAnsi="Calibri" w:cs="Calibri"/>
          <w:bCs/>
          <w:color w:val="000000"/>
          <w:kern w:val="1"/>
          <w:lang w:eastAsia="hi-IN" w:bidi="hi-IN"/>
        </w:rPr>
        <w:t>u</w:t>
      </w:r>
      <w:r w:rsidRPr="003C459C">
        <w:rPr>
          <w:rFonts w:ascii="Calibri" w:eastAsiaTheme="minorEastAsia" w:hAnsi="Calibri" w:cs="Calibri"/>
          <w:bCs/>
          <w:color w:val="000000"/>
          <w:kern w:val="1"/>
          <w:lang w:eastAsia="hi-IN" w:bidi="hi-IN"/>
        </w:rPr>
        <w:t xml:space="preserve"> przedstawiam wykaz usług zrealizowanych w okresie ostatnich 3 lat </w:t>
      </w:r>
      <w:r w:rsidR="00A30FCD" w:rsidRPr="003C459C">
        <w:rPr>
          <w:rFonts w:ascii="Calibri" w:eastAsiaTheme="minorEastAsia" w:hAnsi="Calibri" w:cs="Calibri"/>
          <w:bCs/>
          <w:color w:val="000000"/>
          <w:kern w:val="1"/>
          <w:lang w:eastAsia="hi-IN" w:bidi="hi-IN"/>
        </w:rPr>
        <w:t xml:space="preserve">przed upływem terminu </w:t>
      </w:r>
      <w:r w:rsidRPr="003C459C">
        <w:rPr>
          <w:rFonts w:ascii="Calibri" w:eastAsiaTheme="minorEastAsia" w:hAnsi="Calibri" w:cs="Calibri"/>
          <w:bCs/>
          <w:color w:val="000000"/>
          <w:kern w:val="1"/>
          <w:lang w:eastAsia="hi-IN" w:bidi="hi-IN"/>
        </w:rPr>
        <w:t>składania ofert, a jeżeli okres działalności jest krótszy</w:t>
      </w:r>
      <w:r w:rsidRPr="003C459C">
        <w:rPr>
          <w:rFonts w:ascii="Calibri" w:eastAsiaTheme="minorEastAsia" w:hAnsi="Calibri" w:cs="Calibri"/>
          <w:bCs/>
          <w:kern w:val="1"/>
          <w:lang w:eastAsia="hi-IN" w:bidi="hi-IN"/>
        </w:rPr>
        <w:t xml:space="preserve"> – w tym okresie: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6381"/>
        <w:gridCol w:w="2126"/>
        <w:gridCol w:w="1843"/>
        <w:gridCol w:w="2115"/>
      </w:tblGrid>
      <w:tr w:rsidR="00036AC5" w:rsidRPr="00A30FCD" w14:paraId="2997213A" w14:textId="77777777" w:rsidTr="00036AC5">
        <w:trPr>
          <w:trHeight w:val="1002"/>
        </w:trPr>
        <w:tc>
          <w:tcPr>
            <w:tcW w:w="462" w:type="pct"/>
            <w:shd w:val="clear" w:color="auto" w:fill="F2F2F2"/>
            <w:vAlign w:val="center"/>
          </w:tcPr>
          <w:p w14:paraId="688811AF" w14:textId="77777777" w:rsidR="004E4C2E" w:rsidRPr="00036AC5" w:rsidRDefault="004E4C2E" w:rsidP="008441E6">
            <w:pPr>
              <w:suppressAutoHyphens/>
              <w:spacing w:after="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2323" w:type="pct"/>
            <w:shd w:val="clear" w:color="auto" w:fill="F2F2F2"/>
            <w:vAlign w:val="center"/>
          </w:tcPr>
          <w:p w14:paraId="471B661A" w14:textId="77777777" w:rsidR="004E4C2E" w:rsidRPr="00036AC5" w:rsidRDefault="004E4C2E" w:rsidP="004E4C2E">
            <w:pPr>
              <w:suppressAutoHyphens/>
              <w:spacing w:before="60" w:after="6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>Zakres/przedmiot usługi</w:t>
            </w:r>
          </w:p>
        </w:tc>
        <w:tc>
          <w:tcPr>
            <w:tcW w:w="774" w:type="pct"/>
            <w:shd w:val="clear" w:color="auto" w:fill="F2F2F2"/>
            <w:vAlign w:val="center"/>
          </w:tcPr>
          <w:p w14:paraId="0128D322" w14:textId="77777777" w:rsidR="004E4C2E" w:rsidRPr="00036AC5" w:rsidRDefault="004E4C2E" w:rsidP="008441E6">
            <w:pPr>
              <w:suppressAutoHyphens/>
              <w:spacing w:after="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Okres realizacji usługi od (dzień-miesiąc-rok) </w:t>
            </w: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br/>
              <w:t>do (dzień-miesiąc-rok)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0E57E3AB" w14:textId="4B25718F" w:rsidR="004E4C2E" w:rsidRPr="00036AC5" w:rsidRDefault="004E4C2E" w:rsidP="00023D1A">
            <w:pPr>
              <w:suppressAutoHyphens/>
              <w:spacing w:after="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Wartość brutto usługi </w:t>
            </w:r>
          </w:p>
        </w:tc>
        <w:tc>
          <w:tcPr>
            <w:tcW w:w="770" w:type="pct"/>
            <w:shd w:val="clear" w:color="auto" w:fill="F2F2F2"/>
            <w:vAlign w:val="center"/>
          </w:tcPr>
          <w:p w14:paraId="5CC5C157" w14:textId="77777777" w:rsidR="004E4C2E" w:rsidRPr="00036AC5" w:rsidRDefault="004E4C2E" w:rsidP="008441E6">
            <w:pPr>
              <w:suppressAutoHyphens/>
              <w:spacing w:after="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>Podmiot, na rzecz którego realizowana była usługa</w:t>
            </w:r>
          </w:p>
        </w:tc>
      </w:tr>
      <w:tr w:rsidR="00036AC5" w:rsidRPr="00A30FCD" w14:paraId="20490FB4" w14:textId="77777777" w:rsidTr="00036AC5">
        <w:trPr>
          <w:trHeight w:val="558"/>
        </w:trPr>
        <w:tc>
          <w:tcPr>
            <w:tcW w:w="462" w:type="pct"/>
            <w:vAlign w:val="center"/>
          </w:tcPr>
          <w:p w14:paraId="25E27E8C" w14:textId="77777777" w:rsidR="004E4C2E" w:rsidRPr="00036AC5" w:rsidRDefault="004E4C2E" w:rsidP="008441E6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>Usługa nr 1</w:t>
            </w:r>
          </w:p>
        </w:tc>
        <w:tc>
          <w:tcPr>
            <w:tcW w:w="2323" w:type="pct"/>
            <w:shd w:val="clear" w:color="auto" w:fill="auto"/>
            <w:vAlign w:val="center"/>
          </w:tcPr>
          <w:p w14:paraId="5E51B75A" w14:textId="76E19F3E" w:rsidR="00023D1A" w:rsidRPr="00023D1A" w:rsidRDefault="00023D1A" w:rsidP="00023D1A">
            <w:pPr>
              <w:pStyle w:val="Akapitzlist1"/>
              <w:spacing w:line="360" w:lineRule="auto"/>
              <w:ind w:left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U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sług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a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polegając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a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na </w:t>
            </w: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niezależnej od podmiotu kontrolowanego/audytowanego kontroli zewnętrznej lub audycie zewnętrznym projektu/-ów, dla których ustalono reguły uznawania prawidłowości ponoszonych wydatków, o wartości brutto każdej z nich nie mniejszej niż 120 000,00 zł. Kontrole lub audyty, o których mowa powyżej były prowadzone na miejscu realizacji projektu lub siedzibie beneficjenta i obejmowały swym zakresem co najmniej następujące elementy: </w:t>
            </w:r>
          </w:p>
          <w:p w14:paraId="7FF3F054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zaprzestania działalności  produkcyjnej lub przeniesienie jej poza obszar objęty programem;</w:t>
            </w:r>
          </w:p>
          <w:p w14:paraId="4C57B14A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zmiany własności elementu infrastruktury, która mogłaby dać  przedsiębiorstwu lub podmiotowi publicznemu nienależne korzyści;</w:t>
            </w:r>
          </w:p>
          <w:p w14:paraId="5B393794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weryfikacja, czy nie doszło do sytuacji, w której ten sam wydatek był finansowany z różnych źródeł;</w:t>
            </w:r>
          </w:p>
          <w:p w14:paraId="3D15FE7C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generowanie dochodu w projekcie;</w:t>
            </w:r>
          </w:p>
          <w:p w14:paraId="0FD0AD19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zgodność działań informacyjnych i promocyjnych z obowiązującymi zasadami;</w:t>
            </w:r>
          </w:p>
          <w:p w14:paraId="538D4796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zgodność sposobu archiwizacji dokumentacji z obowiązującymi zasadami;</w:t>
            </w:r>
          </w:p>
          <w:p w14:paraId="7C775878" w14:textId="71CD7BB5" w:rsidR="00036AC5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  <w:cs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kwalifikowalność podatku VAT.</w:t>
            </w:r>
          </w:p>
        </w:tc>
        <w:tc>
          <w:tcPr>
            <w:tcW w:w="774" w:type="pct"/>
            <w:vAlign w:val="center"/>
          </w:tcPr>
          <w:p w14:paraId="0989DED2" w14:textId="77777777" w:rsidR="004E4C2E" w:rsidRPr="00A30FCD" w:rsidRDefault="004E4C2E" w:rsidP="008441E6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lastRenderedPageBreak/>
              <w:t>……………………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0935CF12" w14:textId="4C71BCA6" w:rsidR="004E4C2E" w:rsidRPr="00A30FCD" w:rsidRDefault="004E4C2E" w:rsidP="008441E6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</w:t>
            </w:r>
            <w:r w:rsidR="00023D1A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…….</w:t>
            </w: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…………</w:t>
            </w:r>
            <w:r w:rsidR="00023D1A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br/>
              <w:t>zł brutto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7055A287" w14:textId="30F64271" w:rsidR="004E4C2E" w:rsidRPr="00A30FCD" w:rsidRDefault="00023D1A" w:rsidP="008441E6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……………………</w:t>
            </w:r>
          </w:p>
        </w:tc>
      </w:tr>
      <w:tr w:rsidR="00023D1A" w:rsidRPr="00A30FCD" w14:paraId="0760E082" w14:textId="77777777" w:rsidTr="00036AC5">
        <w:trPr>
          <w:trHeight w:val="884"/>
        </w:trPr>
        <w:tc>
          <w:tcPr>
            <w:tcW w:w="462" w:type="pct"/>
            <w:vAlign w:val="center"/>
          </w:tcPr>
          <w:p w14:paraId="2DEC2D34" w14:textId="77777777" w:rsidR="00023D1A" w:rsidRPr="00036AC5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>Usługa nr 2</w:t>
            </w:r>
          </w:p>
        </w:tc>
        <w:tc>
          <w:tcPr>
            <w:tcW w:w="2323" w:type="pct"/>
            <w:shd w:val="clear" w:color="auto" w:fill="auto"/>
            <w:vAlign w:val="center"/>
          </w:tcPr>
          <w:p w14:paraId="73523C72" w14:textId="77777777" w:rsidR="00023D1A" w:rsidRPr="00023D1A" w:rsidRDefault="00023D1A" w:rsidP="00023D1A">
            <w:pPr>
              <w:pStyle w:val="Akapitzlist1"/>
              <w:spacing w:line="360" w:lineRule="auto"/>
              <w:ind w:left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U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sług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a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polegając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a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na </w:t>
            </w: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niezależnej od podmiotu kontrolowanego/audytowanego kontroli zewnętrznej lub audycie zewnętrznym projektu/-ów, dla których ustalono reguły uznawania prawidłowości ponoszonych wydatków, o wartości brutto każdej z nich nie mniejszej niż 120 000,00 zł. Kontrole lub audyty, o których mowa powyżej były prowadzone na miejscu realizacji projektu lub siedzibie beneficjenta i obejmowały swym zakresem co najmniej następujące elementy: </w:t>
            </w:r>
          </w:p>
          <w:p w14:paraId="34E5E3B7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zaprzestania działalności  produkcyjnej lub przeniesienie jej poza obszar objęty programem;</w:t>
            </w:r>
          </w:p>
          <w:p w14:paraId="725DB885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zmiany własności elementu infrastruktury, która mogłaby dać  przedsiębiorstwu lub podmiotowi publicznemu nienależne korzyści;</w:t>
            </w:r>
          </w:p>
          <w:p w14:paraId="107CCCBE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weryfikacja, czy nie doszło do sytuacji, w której ten sam wydatek był finansowany z różnych źródeł;</w:t>
            </w:r>
          </w:p>
          <w:p w14:paraId="1EC74368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generowanie dochodu w projekcie;</w:t>
            </w:r>
          </w:p>
          <w:p w14:paraId="5D71B0F7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zgodność działań informacyjnych i promocyjnych z obowiązującymi zasadami;</w:t>
            </w:r>
          </w:p>
          <w:p w14:paraId="55F35CDD" w14:textId="77777777" w:rsid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zgodność sposobu archiwizacji dokumentacji z obowiązującymi zasadami;</w:t>
            </w:r>
          </w:p>
          <w:p w14:paraId="62993320" w14:textId="30375638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kwalifikowalność podatku VAT.</w:t>
            </w:r>
          </w:p>
        </w:tc>
        <w:tc>
          <w:tcPr>
            <w:tcW w:w="774" w:type="pct"/>
            <w:vAlign w:val="center"/>
          </w:tcPr>
          <w:p w14:paraId="2A4B2BF1" w14:textId="40EE4DDF" w:rsidR="00023D1A" w:rsidRPr="00A30FCD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lastRenderedPageBreak/>
              <w:t>……………………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20E183CF" w14:textId="32F4094E" w:rsidR="00023D1A" w:rsidRPr="00A30FCD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</w:t>
            </w:r>
            <w:r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…….</w:t>
            </w: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…………</w:t>
            </w:r>
            <w:r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br/>
              <w:t>zł brutto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068A6C14" w14:textId="7766E94C" w:rsidR="00023D1A" w:rsidRPr="00A30FCD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="MS Gothic" w:hAnsi="Calibri" w:cs="Calibri"/>
                <w:bCs/>
                <w:kern w:val="1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……………………</w:t>
            </w:r>
          </w:p>
        </w:tc>
      </w:tr>
      <w:tr w:rsidR="00023D1A" w:rsidRPr="00A30FCD" w14:paraId="17CA353C" w14:textId="77777777" w:rsidTr="00036AC5">
        <w:trPr>
          <w:trHeight w:val="884"/>
        </w:trPr>
        <w:tc>
          <w:tcPr>
            <w:tcW w:w="462" w:type="pct"/>
            <w:vAlign w:val="center"/>
          </w:tcPr>
          <w:p w14:paraId="6955E88C" w14:textId="39D179D2" w:rsidR="00023D1A" w:rsidRPr="00036AC5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036AC5"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Usługa nr </w:t>
            </w:r>
            <w:r>
              <w:rPr>
                <w:rFonts w:ascii="Calibri" w:eastAsiaTheme="minorEastAsia" w:hAnsi="Calibri" w:cs="Calibri"/>
                <w:b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323" w:type="pct"/>
            <w:shd w:val="clear" w:color="auto" w:fill="auto"/>
            <w:vAlign w:val="center"/>
          </w:tcPr>
          <w:p w14:paraId="61EB806C" w14:textId="77777777" w:rsidR="00023D1A" w:rsidRPr="00023D1A" w:rsidRDefault="00023D1A" w:rsidP="00023D1A">
            <w:pPr>
              <w:pStyle w:val="Akapitzlist1"/>
              <w:spacing w:line="360" w:lineRule="auto"/>
              <w:ind w:left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U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sług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a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polegając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a</w:t>
            </w:r>
            <w:r w:rsidRPr="00023D1A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na </w:t>
            </w: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niezależnej od podmiotu kontrolowanego/audytowanego kontroli zewnętrznej lub audycie zewnętrznym projektu/-ów, dla których ustalono reguły uznawania prawidłowości ponoszonych wydatków, o wartości brutto każdej z nich nie mniejszej niż 120 000,00 zł. Kontrole lub audyty, o których mowa powyżej były prowadzone na miejscu realizacji projektu lub siedzibie beneficjenta i obejmowały swym zakresem co najmniej następujące elementy: </w:t>
            </w:r>
          </w:p>
          <w:p w14:paraId="22AA90CB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zaprzestania działalności  produkcyjnej lub przeniesienie jej poza obszar objęty programem;</w:t>
            </w:r>
          </w:p>
          <w:p w14:paraId="04818242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zmiany własności elementu infrastruktury, która mogłaby dać  przedsiębiorstwu lub podmiotowi publicznemu nienależne korzyści;</w:t>
            </w:r>
          </w:p>
          <w:p w14:paraId="776ECE87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weryfikacja, czy nie doszło do sytuacji, w której ten sam wydatek był finansowany z różnych źródeł;</w:t>
            </w:r>
          </w:p>
          <w:p w14:paraId="70F605DB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generowanie dochodu w projekcie;</w:t>
            </w:r>
          </w:p>
          <w:p w14:paraId="294B834B" w14:textId="77777777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zgodność działań informacyjnych i promocyjnych z obowiązującymi zasadami;</w:t>
            </w:r>
          </w:p>
          <w:p w14:paraId="06EE6040" w14:textId="77777777" w:rsid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zgodność sposobu archiwizacji dokumentacji z obowiązującymi zasadami;</w:t>
            </w:r>
          </w:p>
          <w:p w14:paraId="1FC73BA5" w14:textId="278DD342" w:rsidR="00023D1A" w:rsidRPr="00023D1A" w:rsidRDefault="00023D1A" w:rsidP="00023D1A">
            <w:pPr>
              <w:pStyle w:val="Akapitzlist"/>
              <w:numPr>
                <w:ilvl w:val="1"/>
                <w:numId w:val="19"/>
              </w:numPr>
              <w:spacing w:before="360" w:after="360" w:line="360" w:lineRule="auto"/>
              <w:ind w:left="46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3D1A">
              <w:rPr>
                <w:rFonts w:ascii="Calibri" w:hAnsi="Calibri" w:cs="Calibri"/>
                <w:b/>
                <w:bCs/>
                <w:sz w:val="20"/>
                <w:szCs w:val="20"/>
              </w:rPr>
              <w:t>kwalifikowalność podatku VAT.</w:t>
            </w:r>
          </w:p>
        </w:tc>
        <w:tc>
          <w:tcPr>
            <w:tcW w:w="774" w:type="pct"/>
            <w:vAlign w:val="center"/>
          </w:tcPr>
          <w:p w14:paraId="3947FB4A" w14:textId="0B9B9624" w:rsidR="00023D1A" w:rsidRPr="00A30FCD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lastRenderedPageBreak/>
              <w:t>……………………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19801143" w14:textId="6ADB9E32" w:rsidR="00023D1A" w:rsidRPr="00A30FCD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</w:t>
            </w:r>
            <w:r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…….</w:t>
            </w: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…………</w:t>
            </w:r>
            <w:r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br/>
              <w:t>zł brutto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612306D6" w14:textId="0650CA12" w:rsidR="00023D1A" w:rsidRPr="00A30FCD" w:rsidRDefault="00023D1A" w:rsidP="00023D1A">
            <w:pPr>
              <w:suppressAutoHyphens/>
              <w:spacing w:after="200" w:line="100" w:lineRule="atLeast"/>
              <w:jc w:val="center"/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</w:pPr>
            <w:r w:rsidRPr="00A30FCD">
              <w:rPr>
                <w:rFonts w:ascii="Calibri" w:eastAsiaTheme="minorEastAsia" w:hAnsi="Calibri" w:cs="Calibri"/>
                <w:bCs/>
                <w:kern w:val="1"/>
                <w:sz w:val="20"/>
                <w:szCs w:val="20"/>
                <w:lang w:eastAsia="hi-IN" w:bidi="hi-IN"/>
              </w:rPr>
              <w:t>……………………</w:t>
            </w:r>
          </w:p>
        </w:tc>
      </w:tr>
    </w:tbl>
    <w:p w14:paraId="2A919945" w14:textId="77777777" w:rsidR="008441E6" w:rsidRPr="00A30FCD" w:rsidRDefault="008441E6" w:rsidP="008441E6">
      <w:pPr>
        <w:overflowPunct w:val="0"/>
        <w:autoSpaceDE w:val="0"/>
        <w:autoSpaceDN w:val="0"/>
        <w:adjustRightInd w:val="0"/>
        <w:spacing w:after="120" w:line="276" w:lineRule="auto"/>
        <w:ind w:left="720"/>
        <w:contextualSpacing/>
        <w:jc w:val="both"/>
        <w:textAlignment w:val="baseline"/>
        <w:rPr>
          <w:rFonts w:ascii="Calibri" w:eastAsiaTheme="minorEastAsia" w:hAnsi="Calibri" w:cs="Calibri"/>
          <w:i/>
          <w:sz w:val="20"/>
          <w:szCs w:val="20"/>
          <w:lang w:eastAsia="it-IT"/>
        </w:rPr>
      </w:pPr>
    </w:p>
    <w:p w14:paraId="28AADAC2" w14:textId="5FFA84E0" w:rsidR="008441E6" w:rsidRPr="007A310F" w:rsidRDefault="003C459C" w:rsidP="003C459C">
      <w:pPr>
        <w:widowControl w:val="0"/>
        <w:suppressAutoHyphens/>
        <w:overflowPunct w:val="0"/>
        <w:autoSpaceDE w:val="0"/>
        <w:autoSpaceDN w:val="0"/>
        <w:spacing w:before="120" w:line="360" w:lineRule="auto"/>
        <w:rPr>
          <w:rFonts w:ascii="Calibri" w:hAnsi="Calibri" w:cs="Calibri"/>
          <w:b/>
        </w:rPr>
      </w:pPr>
      <w:bookmarkStart w:id="0" w:name="_Hlk126066396"/>
      <w:r w:rsidRPr="000E0034">
        <w:rPr>
          <w:rFonts w:ascii="Calibri" w:hAnsi="Calibri" w:cs="Calibri"/>
          <w:b/>
          <w:bCs/>
          <w:color w:val="FF0000"/>
        </w:rPr>
        <w:t>Do niniejszego wykazu należy załączyć dowody określające, czy te usługi zostały wykonane lub są wykonywane należycie,</w:t>
      </w:r>
      <w:r w:rsidRPr="000E0034">
        <w:rPr>
          <w:rFonts w:ascii="Calibri" w:hAnsi="Calibri" w:cs="Calibri"/>
          <w:color w:val="FF0000"/>
        </w:rPr>
        <w:t xml:space="preserve"> </w:t>
      </w:r>
      <w:bookmarkEnd w:id="0"/>
      <w:r w:rsidR="007A310F" w:rsidRPr="007A310F">
        <w:t>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3D96FB53" w14:textId="6EC31209" w:rsidR="00EC1C9B" w:rsidRPr="003C459C" w:rsidRDefault="00EC1C9B" w:rsidP="003C459C">
      <w:pPr>
        <w:spacing w:after="0" w:line="336" w:lineRule="auto"/>
        <w:contextualSpacing/>
        <w:rPr>
          <w:rFonts w:ascii="Calibri" w:eastAsia="Calibri" w:hAnsi="Calibri" w:cs="Calibri"/>
        </w:rPr>
      </w:pPr>
      <w:r w:rsidRPr="003C459C">
        <w:rPr>
          <w:rFonts w:ascii="Calibri" w:eastAsia="Calibri" w:hAnsi="Calibri" w:cs="Calibri"/>
          <w:b/>
        </w:rPr>
        <w:t>Uwaga</w:t>
      </w:r>
      <w:r w:rsidRPr="003C459C">
        <w:rPr>
          <w:rFonts w:ascii="Calibri" w:eastAsia="Calibri" w:hAnsi="Calibri" w:cs="Calibri"/>
        </w:rPr>
        <w:t>: jeżeli usługi wykazywane na potwierdze</w:t>
      </w:r>
      <w:r w:rsidR="004E4C2E" w:rsidRPr="003C459C">
        <w:rPr>
          <w:rFonts w:ascii="Calibri" w:eastAsia="Calibri" w:hAnsi="Calibri" w:cs="Calibri"/>
        </w:rPr>
        <w:t xml:space="preserve">nie spełnienia warunku udziału </w:t>
      </w:r>
      <w:r w:rsidRPr="003C459C">
        <w:rPr>
          <w:rFonts w:ascii="Calibri" w:eastAsia="Calibri" w:hAnsi="Calibri" w:cs="Calibri"/>
        </w:rPr>
        <w:t xml:space="preserve">w postępowaniu, o którym mowa w rozdziale </w:t>
      </w:r>
      <w:r w:rsidR="003C459C" w:rsidRPr="003C459C">
        <w:rPr>
          <w:rFonts w:ascii="Calibri" w:eastAsia="Times New Roman" w:hAnsi="Calibri" w:cs="Calibri"/>
          <w:bCs/>
          <w:color w:val="000000"/>
          <w:kern w:val="1"/>
          <w:lang w:eastAsia="hi-IN" w:bidi="hi-IN"/>
        </w:rPr>
        <w:t>VI ust. 2 pkt 4 lit. a) SWZ</w:t>
      </w:r>
      <w:r w:rsidR="003C459C" w:rsidRPr="003C459C">
        <w:rPr>
          <w:rFonts w:ascii="Calibri" w:eastAsia="Times New Roman" w:hAnsi="Calibri" w:cs="Calibri"/>
          <w:color w:val="000000"/>
          <w:kern w:val="1"/>
          <w:lang w:eastAsia="hi-IN" w:bidi="hi-IN"/>
        </w:rPr>
        <w:t>.</w:t>
      </w:r>
      <w:r w:rsidRPr="003C459C">
        <w:rPr>
          <w:rFonts w:ascii="Calibri" w:eastAsia="Calibri" w:hAnsi="Calibri" w:cs="Calibri"/>
        </w:rPr>
        <w:t>, obejmowały:</w:t>
      </w:r>
    </w:p>
    <w:p w14:paraId="6434777E" w14:textId="77777777" w:rsidR="00EC1C9B" w:rsidRPr="003C459C" w:rsidRDefault="00EC1C9B" w:rsidP="003C459C">
      <w:pPr>
        <w:numPr>
          <w:ilvl w:val="0"/>
          <w:numId w:val="15"/>
        </w:numPr>
        <w:spacing w:after="0" w:line="336" w:lineRule="auto"/>
        <w:ind w:left="426"/>
        <w:contextualSpacing/>
        <w:rPr>
          <w:rFonts w:ascii="Calibri" w:hAnsi="Calibri" w:cs="Calibri"/>
        </w:rPr>
      </w:pPr>
      <w:r w:rsidRPr="003C459C">
        <w:rPr>
          <w:rFonts w:ascii="Calibri" w:hAnsi="Calibri" w:cs="Calibri"/>
        </w:rPr>
        <w:t xml:space="preserve">zakres szerszy niż określony w ww. warunku – z informacji zawartych w wykazie usług lub dokumentach potwierdzających ich należyte wykonanie powinna wynikać wartość usług w zakresie </w:t>
      </w:r>
      <w:r w:rsidRPr="003C459C">
        <w:rPr>
          <w:rFonts w:ascii="Calibri" w:hAnsi="Calibri" w:cs="Calibri"/>
          <w:bCs/>
        </w:rPr>
        <w:t>zgodnym z wymogami określonymi w SWZ;</w:t>
      </w:r>
    </w:p>
    <w:p w14:paraId="4BD8FC88" w14:textId="6218E3AA" w:rsidR="00EC1C9B" w:rsidRPr="00023D1A" w:rsidRDefault="00EC1C9B" w:rsidP="003C459C">
      <w:pPr>
        <w:numPr>
          <w:ilvl w:val="0"/>
          <w:numId w:val="15"/>
        </w:numPr>
        <w:spacing w:after="0" w:line="336" w:lineRule="auto"/>
        <w:ind w:left="425" w:hanging="357"/>
        <w:contextualSpacing/>
        <w:rPr>
          <w:rFonts w:ascii="Calibri" w:hAnsi="Calibri" w:cs="Calibri"/>
        </w:rPr>
      </w:pPr>
      <w:r w:rsidRPr="003C459C">
        <w:rPr>
          <w:rFonts w:ascii="Calibri" w:hAnsi="Calibri" w:cs="Calibri"/>
          <w:bCs/>
        </w:rPr>
        <w:t>okres dłuższy niż okres ostatnich 3 lat liczonych wstecz od dnia, w którym upływa termin składania ofert - z informacji zawartych w wykazie usług lub dokumentach potwierdzających ich należyte wykonanie powinna wynikać wartość usług w okresie ostatnich 3 lat liczonych wstecz od dnia, w którym upływa termin składania ofert.</w:t>
      </w:r>
    </w:p>
    <w:p w14:paraId="03DE218D" w14:textId="77777777" w:rsidR="00023D1A" w:rsidRPr="00023D1A" w:rsidRDefault="00023D1A" w:rsidP="00023D1A">
      <w:pPr>
        <w:spacing w:before="120" w:line="360" w:lineRule="auto"/>
        <w:jc w:val="both"/>
        <w:rPr>
          <w:rFonts w:ascii="Calibri" w:eastAsia="Arial" w:hAnsi="Calibri" w:cs="Calibri"/>
        </w:rPr>
      </w:pPr>
      <w:r w:rsidRPr="00023D1A">
        <w:rPr>
          <w:rFonts w:ascii="Calibri" w:eastAsia="Arial" w:hAnsi="Calibri" w:cs="Calibri"/>
        </w:rPr>
        <w:lastRenderedPageBreak/>
        <w:t>Zamawiający informuje, że za jedną usługę w rozumieniu ww. warunku uzna jedną umowę, realizowaną w sposób ciągły na rzecz jednego podmiotu, lub kilka umów, których wartość zostanie zsumowana, o ile będą one realizowane dla jednego podmiotu w sposób ciągły (bez przerw).</w:t>
      </w:r>
    </w:p>
    <w:p w14:paraId="6FE2EB7D" w14:textId="77777777" w:rsidR="00023D1A" w:rsidRPr="003C459C" w:rsidRDefault="00023D1A" w:rsidP="00023D1A">
      <w:pPr>
        <w:spacing w:after="0" w:line="336" w:lineRule="auto"/>
        <w:contextualSpacing/>
        <w:rPr>
          <w:rFonts w:ascii="Calibri" w:hAnsi="Calibri" w:cs="Calibri"/>
        </w:rPr>
      </w:pPr>
    </w:p>
    <w:p w14:paraId="5E5CCC7D" w14:textId="77777777" w:rsidR="00B436D1" w:rsidRPr="00A30FCD" w:rsidRDefault="00B436D1" w:rsidP="00B436D1">
      <w:pPr>
        <w:overflowPunct w:val="0"/>
        <w:autoSpaceDE w:val="0"/>
        <w:autoSpaceDN w:val="0"/>
        <w:adjustRightInd w:val="0"/>
        <w:spacing w:after="120" w:line="276" w:lineRule="auto"/>
        <w:ind w:left="720"/>
        <w:contextualSpacing/>
        <w:jc w:val="both"/>
        <w:textAlignment w:val="baseline"/>
        <w:rPr>
          <w:rFonts w:ascii="Calibri" w:eastAsiaTheme="minorEastAsia" w:hAnsi="Calibri" w:cs="Calibri"/>
          <w:i/>
          <w:sz w:val="20"/>
          <w:szCs w:val="20"/>
          <w:lang w:eastAsia="it-IT"/>
        </w:rPr>
      </w:pPr>
    </w:p>
    <w:p w14:paraId="1C5E8F91" w14:textId="4738BA07" w:rsidR="00B20FC0" w:rsidRPr="00B510A5" w:rsidRDefault="00EC1C9B" w:rsidP="00B510A5">
      <w:pPr>
        <w:suppressAutoHyphens/>
        <w:spacing w:after="200" w:line="360" w:lineRule="auto"/>
        <w:jc w:val="both"/>
        <w:rPr>
          <w:rFonts w:ascii="Calibri" w:eastAsiaTheme="minorEastAsia" w:hAnsi="Calibri" w:cs="Calibri"/>
          <w:bCs/>
          <w:kern w:val="1"/>
          <w:lang w:eastAsia="hi-IN" w:bidi="hi-IN"/>
        </w:rPr>
      </w:pPr>
      <w:r w:rsidRPr="00A30FCD">
        <w:rPr>
          <w:rFonts w:ascii="Calibri" w:eastAsiaTheme="minorEastAsia" w:hAnsi="Calibri" w:cs="Calibri"/>
          <w:bCs/>
          <w:kern w:val="1"/>
          <w:lang w:eastAsia="hi-IN" w:bidi="hi-IN"/>
        </w:rPr>
        <w:t>Oświadczam, że wszystkie informacje podane w niniejszym wykazie są aktualne i zgodne z prawdą oraz zostały przedstawione z pełną świadomością konsekwencji wprowadzenia Zamawiającego w błąd przy przedstawianiu informacji.</w:t>
      </w:r>
    </w:p>
    <w:p w14:paraId="2E454E94" w14:textId="77777777" w:rsidR="00023D1A" w:rsidRDefault="00023D1A" w:rsidP="00023D1A">
      <w:pPr>
        <w:keepNext/>
        <w:jc w:val="center"/>
        <w:rPr>
          <w:rFonts w:cstheme="minorHAnsi"/>
          <w:b/>
          <w:i/>
          <w:iCs/>
          <w:color w:val="FF0000"/>
          <w:lang w:eastAsia="ja-JP"/>
        </w:rPr>
      </w:pPr>
    </w:p>
    <w:p w14:paraId="4696D516" w14:textId="768A2F4B" w:rsidR="00023D1A" w:rsidRPr="003576E5" w:rsidRDefault="00023D1A" w:rsidP="00023D1A">
      <w:pPr>
        <w:keepNext/>
        <w:jc w:val="center"/>
        <w:rPr>
          <w:rFonts w:eastAsia="Calibri" w:cstheme="minorHAnsi"/>
          <w:b/>
          <w:i/>
          <w:iCs/>
          <w:color w:val="FF0000"/>
          <w:lang w:eastAsia="ja-JP"/>
        </w:rPr>
      </w:pPr>
      <w:r w:rsidRPr="003576E5">
        <w:rPr>
          <w:rFonts w:cstheme="minorHAnsi"/>
          <w:b/>
          <w:i/>
          <w:iCs/>
          <w:color w:val="FF0000"/>
          <w:lang w:eastAsia="ja-JP"/>
        </w:rPr>
        <w:t xml:space="preserve">Dokument należy złożyć w formie elektronicznej </w:t>
      </w:r>
      <w:r w:rsidRPr="003576E5">
        <w:rPr>
          <w:rFonts w:ascii="Calibri" w:hAnsi="Calibri" w:cs="Calibri"/>
          <w:b/>
          <w:i/>
          <w:iCs/>
          <w:color w:val="FF0000"/>
        </w:rPr>
        <w:t>podpisany kwalifikowanym podpisem elektronicznym przez osobę uprawnioną.</w:t>
      </w:r>
    </w:p>
    <w:p w14:paraId="30F2BD26" w14:textId="77777777" w:rsidR="003C459C" w:rsidRPr="00A30FCD" w:rsidRDefault="003C459C" w:rsidP="00EC1C9B">
      <w:pPr>
        <w:suppressAutoHyphens/>
        <w:spacing w:after="0" w:line="100" w:lineRule="atLeast"/>
        <w:rPr>
          <w:rFonts w:ascii="Calibri" w:hAnsi="Calibri" w:cs="Calibri"/>
        </w:rPr>
      </w:pPr>
    </w:p>
    <w:sectPr w:rsidR="003C459C" w:rsidRPr="00A30FCD" w:rsidSect="00A30FCD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67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F631F" w14:textId="77777777" w:rsidR="00AC7E57" w:rsidRDefault="00AC7E57">
      <w:pPr>
        <w:spacing w:after="0" w:line="240" w:lineRule="auto"/>
      </w:pPr>
      <w:r>
        <w:separator/>
      </w:r>
    </w:p>
  </w:endnote>
  <w:endnote w:type="continuationSeparator" w:id="0">
    <w:p w14:paraId="077F4855" w14:textId="77777777" w:rsidR="00AC7E57" w:rsidRDefault="00AC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938E7" w14:textId="0D7558BE" w:rsidR="00B510A5" w:rsidRPr="002D41FA" w:rsidRDefault="00B510A5" w:rsidP="00023D1A">
    <w:pPr>
      <w:pStyle w:val="Stopka"/>
      <w:jc w:val="right"/>
      <w:rPr>
        <w:rFonts w:ascii="Calibri" w:hAnsi="Calibri" w:cs="Calibri"/>
        <w:sz w:val="20"/>
        <w:szCs w:val="20"/>
      </w:rPr>
    </w:pPr>
  </w:p>
  <w:p w14:paraId="2C479D33" w14:textId="3225691A" w:rsidR="00734CBC" w:rsidRPr="00023D1A" w:rsidRDefault="00023D1A" w:rsidP="00023D1A">
    <w:pPr>
      <w:pStyle w:val="Akapitzlist"/>
      <w:spacing w:after="200" w:line="360" w:lineRule="auto"/>
      <w:ind w:left="0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B7A5" w14:textId="67AB40F1" w:rsidR="00734CBC" w:rsidRPr="00023D1A" w:rsidRDefault="00023D1A" w:rsidP="00023D1A">
    <w:pPr>
      <w:pStyle w:val="Akapitzlist"/>
      <w:spacing w:after="200" w:line="360" w:lineRule="auto"/>
      <w:ind w:left="0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Zamówienie jest współfinansowane przez Unię Europejską ze środków Europejskiego Funduszu Rozwoju Regionalnego </w:t>
    </w:r>
    <w:r>
      <w:rPr>
        <w:rFonts w:ascii="Calibri" w:hAnsi="Calibri" w:cs="Calibri"/>
        <w:sz w:val="18"/>
        <w:szCs w:val="18"/>
      </w:rPr>
      <w:br/>
      <w:t>oraz budżetu państwa w ramach Funduszy Europejskich na Rozwój Cyfrowy.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E36B7" w14:textId="77777777" w:rsidR="00AC7E57" w:rsidRDefault="00AC7E57">
      <w:pPr>
        <w:spacing w:after="0" w:line="240" w:lineRule="auto"/>
      </w:pPr>
      <w:r>
        <w:separator/>
      </w:r>
    </w:p>
  </w:footnote>
  <w:footnote w:type="continuationSeparator" w:id="0">
    <w:p w14:paraId="3E7F2B78" w14:textId="77777777" w:rsidR="00AC7E57" w:rsidRDefault="00AC7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D4697" w14:textId="34EB3A7C" w:rsidR="00B510A5" w:rsidRDefault="00023D1A" w:rsidP="00B510A5">
    <w:pPr>
      <w:pStyle w:val="Nagwek"/>
      <w:jc w:val="center"/>
    </w:pPr>
    <w:r>
      <w:rPr>
        <w:noProof/>
      </w:rPr>
      <w:drawing>
        <wp:inline distT="0" distB="0" distL="0" distR="0" wp14:anchorId="08B12445" wp14:editId="7F853911">
          <wp:extent cx="5765800" cy="438150"/>
          <wp:effectExtent l="0" t="0" r="6350" b="0"/>
          <wp:docPr id="10044110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36624D" w14:textId="3A128863" w:rsidR="00734CBC" w:rsidRDefault="007A31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978D" w14:textId="18136276" w:rsidR="00734CBC" w:rsidRDefault="00023D1A" w:rsidP="00023D1A">
    <w:pPr>
      <w:pStyle w:val="Nagwek"/>
      <w:tabs>
        <w:tab w:val="left" w:pos="3828"/>
        <w:tab w:val="center" w:pos="6872"/>
        <w:tab w:val="right" w:pos="13744"/>
      </w:tabs>
      <w:jc w:val="center"/>
    </w:pPr>
    <w:r>
      <w:rPr>
        <w:noProof/>
      </w:rPr>
      <w:drawing>
        <wp:inline distT="0" distB="0" distL="0" distR="0" wp14:anchorId="16824BE3" wp14:editId="3AB6EFA5">
          <wp:extent cx="5765800" cy="438150"/>
          <wp:effectExtent l="0" t="0" r="6350" b="0"/>
          <wp:docPr id="6840024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326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45D87"/>
    <w:multiLevelType w:val="hybridMultilevel"/>
    <w:tmpl w:val="524A511E"/>
    <w:lvl w:ilvl="0" w:tplc="AD4A8E3E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6B72686"/>
    <w:multiLevelType w:val="hybridMultilevel"/>
    <w:tmpl w:val="5B52C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450AF"/>
    <w:multiLevelType w:val="hybridMultilevel"/>
    <w:tmpl w:val="417A5A6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A2B7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07288"/>
    <w:multiLevelType w:val="hybridMultilevel"/>
    <w:tmpl w:val="4D16B85C"/>
    <w:lvl w:ilvl="0" w:tplc="006450C6">
      <w:start w:val="2"/>
      <w:numFmt w:val="bullet"/>
      <w:lvlText w:val="-"/>
      <w:lvlJc w:val="left"/>
      <w:pPr>
        <w:ind w:left="394" w:hanging="360"/>
      </w:pPr>
      <w:rPr>
        <w:rFonts w:ascii="Trebuchet MS" w:eastAsiaTheme="minorEastAsia" w:hAnsi="Trebuchet MS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1F7C0204"/>
    <w:multiLevelType w:val="hybridMultilevel"/>
    <w:tmpl w:val="2E40961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2C3C7C"/>
    <w:multiLevelType w:val="hybridMultilevel"/>
    <w:tmpl w:val="90F69E1C"/>
    <w:lvl w:ilvl="0" w:tplc="5D92FDFE">
      <w:start w:val="1"/>
      <w:numFmt w:val="lowerRoman"/>
      <w:lvlText w:val="%1."/>
      <w:lvlJc w:val="left"/>
      <w:pPr>
        <w:ind w:left="13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2A426485"/>
    <w:multiLevelType w:val="hybridMultilevel"/>
    <w:tmpl w:val="EA08E614"/>
    <w:lvl w:ilvl="0" w:tplc="517A335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812F0"/>
    <w:multiLevelType w:val="hybridMultilevel"/>
    <w:tmpl w:val="D4242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61127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812C3"/>
    <w:multiLevelType w:val="hybridMultilevel"/>
    <w:tmpl w:val="D7B4C198"/>
    <w:lvl w:ilvl="0" w:tplc="5D92FDFE">
      <w:start w:val="1"/>
      <w:numFmt w:val="lowerRoman"/>
      <w:lvlText w:val="%1."/>
      <w:lvlJc w:val="left"/>
      <w:pPr>
        <w:ind w:left="13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50BD2513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67D5F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E7A6C"/>
    <w:multiLevelType w:val="hybridMultilevel"/>
    <w:tmpl w:val="62F4B0FE"/>
    <w:lvl w:ilvl="0" w:tplc="5D92FDFE">
      <w:start w:val="1"/>
      <w:numFmt w:val="lowerRoman"/>
      <w:lvlText w:val="%1."/>
      <w:lvlJc w:val="left"/>
      <w:pPr>
        <w:ind w:left="13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6256531D"/>
    <w:multiLevelType w:val="hybridMultilevel"/>
    <w:tmpl w:val="87CC2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F2271"/>
    <w:multiLevelType w:val="hybridMultilevel"/>
    <w:tmpl w:val="F0D22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1513CE"/>
    <w:multiLevelType w:val="hybridMultilevel"/>
    <w:tmpl w:val="62F4B0FE"/>
    <w:lvl w:ilvl="0" w:tplc="5D92FDFE">
      <w:start w:val="1"/>
      <w:numFmt w:val="lowerRoman"/>
      <w:lvlText w:val="%1."/>
      <w:lvlJc w:val="left"/>
      <w:pPr>
        <w:ind w:left="13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760328FB"/>
    <w:multiLevelType w:val="hybridMultilevel"/>
    <w:tmpl w:val="84DEBA80"/>
    <w:lvl w:ilvl="0" w:tplc="51BE52E4">
      <w:start w:val="1"/>
      <w:numFmt w:val="decimal"/>
      <w:lvlText w:val="%1)"/>
      <w:lvlJc w:val="left"/>
      <w:pPr>
        <w:ind w:left="64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349257345">
    <w:abstractNumId w:val="15"/>
  </w:num>
  <w:num w:numId="2" w16cid:durableId="934633780">
    <w:abstractNumId w:val="14"/>
  </w:num>
  <w:num w:numId="3" w16cid:durableId="1018240645">
    <w:abstractNumId w:val="0"/>
  </w:num>
  <w:num w:numId="4" w16cid:durableId="1793741479">
    <w:abstractNumId w:val="12"/>
  </w:num>
  <w:num w:numId="5" w16cid:durableId="1916090080">
    <w:abstractNumId w:val="9"/>
  </w:num>
  <w:num w:numId="6" w16cid:durableId="1609267805">
    <w:abstractNumId w:val="11"/>
  </w:num>
  <w:num w:numId="7" w16cid:durableId="799038087">
    <w:abstractNumId w:val="17"/>
  </w:num>
  <w:num w:numId="8" w16cid:durableId="1936087605">
    <w:abstractNumId w:val="16"/>
  </w:num>
  <w:num w:numId="9" w16cid:durableId="1860044589">
    <w:abstractNumId w:val="6"/>
  </w:num>
  <w:num w:numId="10" w16cid:durableId="589629642">
    <w:abstractNumId w:val="13"/>
  </w:num>
  <w:num w:numId="11" w16cid:durableId="56708334">
    <w:abstractNumId w:val="4"/>
  </w:num>
  <w:num w:numId="12" w16cid:durableId="1166281143">
    <w:abstractNumId w:val="10"/>
  </w:num>
  <w:num w:numId="13" w16cid:durableId="219287708">
    <w:abstractNumId w:val="8"/>
  </w:num>
  <w:num w:numId="14" w16cid:durableId="18380307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46049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3182708">
    <w:abstractNumId w:val="5"/>
  </w:num>
  <w:num w:numId="17" w16cid:durableId="1969554053">
    <w:abstractNumId w:val="7"/>
  </w:num>
  <w:num w:numId="18" w16cid:durableId="235550548">
    <w:abstractNumId w:val="1"/>
  </w:num>
  <w:num w:numId="19" w16cid:durableId="1516532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1E6"/>
    <w:rsid w:val="00021BF7"/>
    <w:rsid w:val="00023D1A"/>
    <w:rsid w:val="00036AC5"/>
    <w:rsid w:val="00063DC7"/>
    <w:rsid w:val="000A614E"/>
    <w:rsid w:val="000E0034"/>
    <w:rsid w:val="001D4608"/>
    <w:rsid w:val="00297027"/>
    <w:rsid w:val="002F5FFC"/>
    <w:rsid w:val="00340B6F"/>
    <w:rsid w:val="00350E2D"/>
    <w:rsid w:val="003838E8"/>
    <w:rsid w:val="003C459C"/>
    <w:rsid w:val="003D0CE5"/>
    <w:rsid w:val="00424141"/>
    <w:rsid w:val="00450742"/>
    <w:rsid w:val="004C2E33"/>
    <w:rsid w:val="004E4C2E"/>
    <w:rsid w:val="005A1628"/>
    <w:rsid w:val="00676924"/>
    <w:rsid w:val="007735AD"/>
    <w:rsid w:val="007A310F"/>
    <w:rsid w:val="007A671E"/>
    <w:rsid w:val="007C385F"/>
    <w:rsid w:val="007D2AF7"/>
    <w:rsid w:val="008441E6"/>
    <w:rsid w:val="00845ACC"/>
    <w:rsid w:val="008B6D3E"/>
    <w:rsid w:val="00914F44"/>
    <w:rsid w:val="009F6845"/>
    <w:rsid w:val="00A14B6A"/>
    <w:rsid w:val="00A30FCD"/>
    <w:rsid w:val="00A37135"/>
    <w:rsid w:val="00A85475"/>
    <w:rsid w:val="00AA73B3"/>
    <w:rsid w:val="00AC7E57"/>
    <w:rsid w:val="00B20FC0"/>
    <w:rsid w:val="00B436D1"/>
    <w:rsid w:val="00B510A5"/>
    <w:rsid w:val="00B61643"/>
    <w:rsid w:val="00BD5E4A"/>
    <w:rsid w:val="00BE68E2"/>
    <w:rsid w:val="00C83EB2"/>
    <w:rsid w:val="00CA4607"/>
    <w:rsid w:val="00D16CAD"/>
    <w:rsid w:val="00EC1C9B"/>
    <w:rsid w:val="00F21F85"/>
    <w:rsid w:val="00FC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F1AA9"/>
  <w15:chartTrackingRefBased/>
  <w15:docId w15:val="{62BB1765-32B5-4F23-9138-5FDF34C79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1E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it-IT" w:eastAsia="it-IT"/>
    </w:rPr>
  </w:style>
  <w:style w:type="character" w:customStyle="1" w:styleId="NagwekZnak">
    <w:name w:val="Nagłówek Znak"/>
    <w:basedOn w:val="Domylnaczcionkaakapitu"/>
    <w:link w:val="Nagwek"/>
    <w:uiPriority w:val="99"/>
    <w:rsid w:val="008441E6"/>
    <w:rPr>
      <w:rFonts w:eastAsiaTheme="minorEastAsia"/>
      <w:lang w:val="it-IT" w:eastAsia="it-IT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8441E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val="it-IT" w:eastAsia="it-IT"/>
    </w:r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8441E6"/>
    <w:rPr>
      <w:rFonts w:eastAsiaTheme="minorEastAsia"/>
      <w:lang w:val="it-IT" w:eastAsia="it-IT"/>
    </w:rPr>
  </w:style>
  <w:style w:type="character" w:styleId="Odwoaniedokomentarza">
    <w:name w:val="annotation reference"/>
    <w:basedOn w:val="Domylnaczcionkaakapitu"/>
    <w:uiPriority w:val="99"/>
    <w:unhideWhenUsed/>
    <w:rsid w:val="00844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1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1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1E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CW_Lista,Preambuła,Akapit z listą5,List Paragraph,BulletC,Wyliczanie,Obiekt,normalny tekst,Akapit z listą31,Bullets,List Paragraph1,lp1,List Paragraph2,RR PGE Akapit z listą,Styl 1,maz_wyliczenie,opis dzialania,Nagłowek 3"/>
    <w:basedOn w:val="Normalny"/>
    <w:link w:val="AkapitzlistZnak"/>
    <w:uiPriority w:val="34"/>
    <w:qFormat/>
    <w:rsid w:val="00A14B6A"/>
    <w:pPr>
      <w:spacing w:after="120" w:line="276" w:lineRule="auto"/>
      <w:ind w:left="720"/>
      <w:contextualSpacing/>
    </w:pPr>
    <w:rPr>
      <w:rFonts w:ascii="Arial" w:eastAsiaTheme="minorEastAsia" w:hAnsi="Arial"/>
      <w:lang w:val="it-IT" w:eastAsia="it-IT"/>
    </w:rPr>
  </w:style>
  <w:style w:type="character" w:customStyle="1" w:styleId="AkapitzlistZnak">
    <w:name w:val="Akapit z listą Znak"/>
    <w:aliases w:val="L1 Znak,Numerowanie Znak,CW_Lista Znak,Preambuła Znak,Akapit z listą5 Znak,List Paragraph Znak,BulletC Znak,Wyliczanie Znak,Obiekt Znak,normalny tekst Znak,Akapit z listą31 Znak,Bullets Znak,List Paragraph1 Znak,lp1 Znak,Styl 1 Znak"/>
    <w:link w:val="Akapitzlist"/>
    <w:uiPriority w:val="34"/>
    <w:qFormat/>
    <w:rsid w:val="00A14B6A"/>
    <w:rPr>
      <w:rFonts w:ascii="Arial" w:eastAsiaTheme="minorEastAsia" w:hAnsi="Arial"/>
      <w:lang w:val="it-IT" w:eastAsia="it-IT"/>
    </w:rPr>
  </w:style>
  <w:style w:type="table" w:customStyle="1" w:styleId="Tabela-Siatka2">
    <w:name w:val="Tabela - Siatka2"/>
    <w:basedOn w:val="Standardowy"/>
    <w:uiPriority w:val="39"/>
    <w:rsid w:val="00EC1C9B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A30FCD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Grzyb-Kramek</dc:creator>
  <cp:keywords/>
  <dc:description/>
  <cp:lastModifiedBy>Justyna Karczmarczyk</cp:lastModifiedBy>
  <cp:revision>2</cp:revision>
  <dcterms:created xsi:type="dcterms:W3CDTF">2024-05-21T12:34:00Z</dcterms:created>
  <dcterms:modified xsi:type="dcterms:W3CDTF">2024-05-21T12:34:00Z</dcterms:modified>
</cp:coreProperties>
</file>