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77777777" w:rsidR="002672B8" w:rsidRPr="00D6198C" w:rsidRDefault="002672B8" w:rsidP="002672B8">
      <w:pPr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sz w:val="22"/>
          <w:szCs w:val="22"/>
        </w:rPr>
        <w:br/>
      </w:r>
      <w:r w:rsidRPr="00D6198C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98C">
        <w:rPr>
          <w:rFonts w:cs="Times New Roman"/>
          <w:b/>
          <w:bCs/>
          <w:sz w:val="22"/>
          <w:szCs w:val="22"/>
        </w:rPr>
        <w:t>UNIWERSYTET KAZIMIERZA WIELKIEGO</w:t>
      </w:r>
    </w:p>
    <w:p w14:paraId="4CC452C5" w14:textId="77777777" w:rsidR="002672B8" w:rsidRPr="00D6198C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W BYDGOSZCZY</w:t>
      </w:r>
    </w:p>
    <w:p w14:paraId="22A82AD5" w14:textId="77777777" w:rsidR="002672B8" w:rsidRPr="00D6198C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287FF862" w14:textId="77777777" w:rsidR="002672B8" w:rsidRPr="00D6198C" w:rsidRDefault="002672B8" w:rsidP="002672B8">
      <w:pPr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NIP 5542647568 REGON 340057695</w:t>
      </w:r>
    </w:p>
    <w:p w14:paraId="50689A9F" w14:textId="77777777" w:rsidR="002672B8" w:rsidRPr="00D6198C" w:rsidRDefault="002672B8" w:rsidP="002672B8">
      <w:pPr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www.ukw.edu.pl</w:t>
      </w:r>
    </w:p>
    <w:p w14:paraId="5800A97D" w14:textId="77777777" w:rsidR="00F7473D" w:rsidRPr="00D6198C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565B285B" w14:textId="77777777" w:rsidR="00F7473D" w:rsidRPr="00D6198C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14:paraId="0ECECC95" w14:textId="77777777" w:rsidR="00F7361B" w:rsidRDefault="009F6175" w:rsidP="00D43E36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UKW/DZP-281-D-</w:t>
      </w:r>
      <w:r w:rsidR="00D6198C" w:rsidRPr="00D6198C">
        <w:rPr>
          <w:rFonts w:cs="Times New Roman"/>
          <w:sz w:val="22"/>
          <w:szCs w:val="22"/>
        </w:rPr>
        <w:t>5/2022</w:t>
      </w:r>
      <w:r w:rsidR="00013F79" w:rsidRPr="00D6198C">
        <w:rPr>
          <w:rFonts w:cs="Times New Roman"/>
          <w:sz w:val="22"/>
          <w:szCs w:val="22"/>
        </w:rPr>
        <w:tab/>
      </w:r>
      <w:r w:rsidR="0052178C" w:rsidRPr="00D6198C">
        <w:rPr>
          <w:rFonts w:cs="Times New Roman"/>
          <w:sz w:val="22"/>
          <w:szCs w:val="22"/>
        </w:rPr>
        <w:tab/>
      </w:r>
      <w:r w:rsidR="00BB23AC" w:rsidRPr="00D6198C">
        <w:rPr>
          <w:rFonts w:cs="Times New Roman"/>
          <w:sz w:val="22"/>
          <w:szCs w:val="22"/>
        </w:rPr>
        <w:tab/>
      </w:r>
      <w:r w:rsidR="00A70291" w:rsidRPr="00D6198C">
        <w:rPr>
          <w:rFonts w:cs="Times New Roman"/>
          <w:sz w:val="22"/>
          <w:szCs w:val="22"/>
        </w:rPr>
        <w:tab/>
      </w:r>
      <w:r w:rsidR="00A70291" w:rsidRPr="00D6198C">
        <w:rPr>
          <w:rFonts w:cs="Times New Roman"/>
          <w:sz w:val="22"/>
          <w:szCs w:val="22"/>
        </w:rPr>
        <w:tab/>
        <w:t xml:space="preserve">           </w:t>
      </w:r>
    </w:p>
    <w:p w14:paraId="02280461" w14:textId="6C803ECD" w:rsidR="00F7473D" w:rsidRPr="00D6198C" w:rsidRDefault="009F6175" w:rsidP="00F7361B">
      <w:pPr>
        <w:tabs>
          <w:tab w:val="left" w:pos="0"/>
        </w:tabs>
        <w:spacing w:line="360" w:lineRule="auto"/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Bydgoszcz, dn. </w:t>
      </w:r>
      <w:r w:rsidR="0070109C">
        <w:rPr>
          <w:rFonts w:cs="Times New Roman"/>
          <w:sz w:val="22"/>
          <w:szCs w:val="22"/>
        </w:rPr>
        <w:t>07.03</w:t>
      </w:r>
      <w:r w:rsidR="00083B59" w:rsidRPr="00D6198C">
        <w:rPr>
          <w:rFonts w:cs="Times New Roman"/>
          <w:sz w:val="22"/>
          <w:szCs w:val="22"/>
        </w:rPr>
        <w:t>.202</w:t>
      </w:r>
      <w:r w:rsidR="00D6198C" w:rsidRPr="00D6198C">
        <w:rPr>
          <w:rFonts w:cs="Times New Roman"/>
          <w:sz w:val="22"/>
          <w:szCs w:val="22"/>
        </w:rPr>
        <w:t>2</w:t>
      </w:r>
      <w:r w:rsidR="00F7473D" w:rsidRPr="00D6198C">
        <w:rPr>
          <w:rFonts w:cs="Times New Roman"/>
          <w:sz w:val="22"/>
          <w:szCs w:val="22"/>
        </w:rPr>
        <w:t xml:space="preserve"> r.</w:t>
      </w:r>
    </w:p>
    <w:p w14:paraId="348B4E3A" w14:textId="77777777" w:rsidR="00F7473D" w:rsidRPr="00D6198C" w:rsidRDefault="00F7473D" w:rsidP="00D43E36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</w:p>
    <w:p w14:paraId="47DBE37A" w14:textId="2A42DF0F" w:rsidR="00CE08C6" w:rsidRPr="00F7361B" w:rsidRDefault="00F7473D" w:rsidP="00F7361B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6198C">
        <w:rPr>
          <w:rFonts w:ascii="Times New Roman" w:hAnsi="Times New Roman" w:cs="Times New Roman"/>
          <w:sz w:val="22"/>
          <w:szCs w:val="22"/>
        </w:rPr>
        <w:t xml:space="preserve">dot. postępowania prowadzonego w trybie </w:t>
      </w:r>
      <w:r w:rsidR="00083B59" w:rsidRPr="00D6198C">
        <w:rPr>
          <w:rFonts w:ascii="Times New Roman" w:hAnsi="Times New Roman" w:cs="Times New Roman"/>
          <w:sz w:val="22"/>
          <w:szCs w:val="22"/>
        </w:rPr>
        <w:t>podstawowym bez negocjacji</w:t>
      </w:r>
      <w:r w:rsidRPr="00D6198C">
        <w:rPr>
          <w:rFonts w:ascii="Times New Roman" w:hAnsi="Times New Roman" w:cs="Times New Roman"/>
          <w:sz w:val="22"/>
          <w:szCs w:val="22"/>
        </w:rPr>
        <w:t xml:space="preserve"> na: </w:t>
      </w:r>
      <w:r w:rsidR="00D6198C" w:rsidRPr="00F7361B">
        <w:rPr>
          <w:rFonts w:ascii="Times New Roman" w:hAnsi="Times New Roman" w:cs="Times New Roman"/>
          <w:i/>
          <w:sz w:val="22"/>
          <w:szCs w:val="22"/>
        </w:rPr>
        <w:t>Sukcesywna dostawa fabrycznie nowych materiałów eksploatacyjnych do drukarek</w:t>
      </w:r>
      <w:r w:rsidR="00F7361B" w:rsidRPr="00F7361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6198C" w:rsidRPr="00F7361B">
        <w:rPr>
          <w:rFonts w:ascii="Times New Roman" w:hAnsi="Times New Roman" w:cs="Times New Roman"/>
          <w:i/>
          <w:sz w:val="22"/>
          <w:szCs w:val="22"/>
        </w:rPr>
        <w:t>i kserokopiarek</w:t>
      </w:r>
      <w:r w:rsidR="00D6198C" w:rsidRPr="00F7361B">
        <w:rPr>
          <w:rFonts w:ascii="Times New Roman" w:hAnsi="Times New Roman" w:cs="Times New Roman"/>
          <w:i/>
          <w:iCs/>
          <w:sz w:val="22"/>
          <w:szCs w:val="22"/>
        </w:rPr>
        <w:t xml:space="preserve"> na potrzeby Uniwersytetu Kazimierza Wielkiego w Bydgoszczy</w:t>
      </w:r>
    </w:p>
    <w:p w14:paraId="25B32EDF" w14:textId="77777777" w:rsidR="00D6198C" w:rsidRPr="00D6198C" w:rsidRDefault="00D6198C" w:rsidP="0081673F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04937A63" w14:textId="1E171C35" w:rsidR="00791374" w:rsidRPr="00D6198C" w:rsidRDefault="00791374" w:rsidP="0081673F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ODPOWIEDZI NA PYTANIA</w:t>
      </w:r>
    </w:p>
    <w:p w14:paraId="2C3E5470" w14:textId="07770511" w:rsidR="00791374" w:rsidRPr="00D6198C" w:rsidRDefault="00791374" w:rsidP="00D43E36">
      <w:pPr>
        <w:spacing w:line="360" w:lineRule="auto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           Działając na podstawie art. 284 ust. 2 ustawy Prawo zamówień publicznych (tj. Dz. U. z 2021 r. poz. 1129) Zamawiający przekazuje treść zapytań wraz z udzielonymi odpowiedziami:</w:t>
      </w:r>
    </w:p>
    <w:p w14:paraId="28CACF14" w14:textId="77777777" w:rsidR="00791374" w:rsidRPr="00D6198C" w:rsidRDefault="00791374" w:rsidP="00D43E36">
      <w:pPr>
        <w:spacing w:line="360" w:lineRule="auto"/>
        <w:rPr>
          <w:rFonts w:cs="Times New Roman"/>
          <w:sz w:val="22"/>
          <w:szCs w:val="22"/>
        </w:rPr>
      </w:pPr>
    </w:p>
    <w:p w14:paraId="7C0A05A2" w14:textId="05311D25" w:rsidR="00791374" w:rsidRPr="007F63FA" w:rsidRDefault="00791374" w:rsidP="00D43E36">
      <w:pPr>
        <w:spacing w:line="360" w:lineRule="auto"/>
        <w:rPr>
          <w:rFonts w:cs="Times New Roman"/>
          <w:b/>
          <w:sz w:val="22"/>
          <w:szCs w:val="22"/>
          <w:u w:val="single"/>
        </w:rPr>
      </w:pPr>
      <w:r w:rsidRPr="007F63FA">
        <w:rPr>
          <w:rFonts w:cs="Times New Roman"/>
          <w:b/>
          <w:sz w:val="22"/>
          <w:szCs w:val="22"/>
          <w:u w:val="single"/>
        </w:rPr>
        <w:t>Pytanie 1</w:t>
      </w:r>
    </w:p>
    <w:p w14:paraId="18B05F90" w14:textId="790978E7" w:rsidR="003B0066" w:rsidRPr="003B0066" w:rsidRDefault="003B0066" w:rsidP="00F5676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7F63FA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Poz.</w:t>
      </w:r>
      <w:r w:rsidRPr="003B0066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3B006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16,79,106, 122,129, 133,159, 170,190, 192, 206, 293,294,295, 296, 305,306,307, 308,332 </w:t>
      </w:r>
    </w:p>
    <w:p w14:paraId="0ADF0BC6" w14:textId="414EE131" w:rsidR="00791374" w:rsidRDefault="003B0066" w:rsidP="00F5676E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5676E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Informujemy, że materiał eksploatacyjny we wskazanych pozycjach został wycofany z produkcji, nie jest dostępny na rynku i nie został zastąpiony innym modelem. Informacje o dostępności widniejące przy tym produkcie w sklepach internetowych nie znajdują potwierdzenia przy próbach złożenia zamówienia – po złożeniu zamówienia sprzedawcy informują, że nie mają tego produktu w magazynie i już nie ma możliwości jego sprowadzenia. Prosimy o wykreślenie pozycji z załącznika.</w:t>
      </w:r>
    </w:p>
    <w:p w14:paraId="0A619790" w14:textId="77777777" w:rsidR="002C11EB" w:rsidRPr="00F5676E" w:rsidRDefault="002C11EB" w:rsidP="00F5676E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07"/>
        <w:gridCol w:w="1134"/>
        <w:gridCol w:w="850"/>
      </w:tblGrid>
      <w:tr w:rsidR="003B0066" w:rsidRPr="003B0066" w14:paraId="3DBA0FB8" w14:textId="77777777" w:rsidTr="00F5676E">
        <w:trPr>
          <w:trHeight w:val="4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BF0F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B0066"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78D7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B0066"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BA82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B0066"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BE01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B0066"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3B0066" w:rsidRPr="003B0066" w14:paraId="5A09673A" w14:textId="77777777" w:rsidTr="00F5676E">
        <w:trPr>
          <w:trHeight w:val="2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BCEE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D4B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Toner do </w:t>
            </w:r>
            <w:proofErr w:type="spellStart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Brother</w:t>
            </w:r>
            <w:proofErr w:type="spellEnd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 DCP-L2552, czarny, min. wyd. 3000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59C0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C5D6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29179EC7" w14:textId="77777777" w:rsidTr="00F5676E">
        <w:trPr>
          <w:trHeight w:val="2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36C1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79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9A6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Toner do </w:t>
            </w:r>
            <w:proofErr w:type="spellStart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Brother</w:t>
            </w:r>
            <w:proofErr w:type="spellEnd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 HL-1660, czarny, min. wyd. 9000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CF7D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9B24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2951967F" w14:textId="77777777" w:rsidTr="00F5676E">
        <w:trPr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2094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106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9660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Toner do HP LJ 2200 D, czarny, min. wyd. 5000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94BA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71B8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5AFD6742" w14:textId="77777777" w:rsidTr="00F5676E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73CC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122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4EAC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Toner do HP LJ 6 MP, czarny, min. wyd. 4000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62C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E014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24266B7F" w14:textId="77777777" w:rsidTr="00F5676E">
        <w:trPr>
          <w:trHeight w:val="27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3E10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129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19A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Toner do HP LJ 1150, czarny, min. wyd. 2500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991A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5137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</w:tr>
      <w:tr w:rsidR="003B0066" w:rsidRPr="003B0066" w14:paraId="55ADC018" w14:textId="77777777" w:rsidTr="00F5676E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8444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133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E84A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Toner do HP LJ 1100, czarny, min. wyd. 2500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3295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2D7C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0149C9AA" w14:textId="77777777" w:rsidTr="00F5676E">
        <w:trPr>
          <w:trHeight w:val="28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EDBA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159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ACB9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Toner do HP LJ 2100, czarny, min. wyd. 5000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F8DE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3750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5705E311" w14:textId="77777777" w:rsidTr="00F5676E">
        <w:trPr>
          <w:trHeight w:val="2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82F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170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F5B7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Toner do HP LJ 2420, czarny, min. wyd. 6000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4406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6C27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5283F76E" w14:textId="77777777" w:rsidTr="00F5676E">
        <w:trPr>
          <w:trHeight w:val="2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6035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190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D85B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Tusz do HP DJ 1220c, kolor, min. poj.  19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BB5A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508D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77206167" w14:textId="77777777" w:rsidTr="00F5676E">
        <w:trPr>
          <w:trHeight w:val="2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E38A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192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1419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Tusz do HP </w:t>
            </w:r>
            <w:proofErr w:type="spellStart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Deskjet</w:t>
            </w:r>
            <w:proofErr w:type="spellEnd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 845C, kolor, min. poj. 15ml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03BD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87D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6078EFCA" w14:textId="77777777" w:rsidTr="00F5676E">
        <w:trPr>
          <w:trHeight w:val="2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9645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206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9AD3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Tusz do HP DJ 940C, kolor, min. poj. 15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6E9D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4E55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346362E3" w14:textId="77777777" w:rsidTr="00F5676E">
        <w:trPr>
          <w:trHeight w:val="2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D6F5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293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032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Toner do Xerox 6125, czarny, min. wyd. 2000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B09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BF30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49FB6379" w14:textId="77777777" w:rsidTr="00F5676E">
        <w:trPr>
          <w:trHeight w:val="2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3ED5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294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539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Toner do Xerox 6125, </w:t>
            </w:r>
            <w:proofErr w:type="spellStart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cyan</w:t>
            </w:r>
            <w:proofErr w:type="spellEnd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, min. wyd. 1000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7F5D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DC97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171B06A7" w14:textId="77777777" w:rsidTr="00F5676E">
        <w:trPr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63F0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295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03C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Toner do Xerox 6125, </w:t>
            </w:r>
            <w:proofErr w:type="spellStart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magenta</w:t>
            </w:r>
            <w:proofErr w:type="spellEnd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, min. wyd. 1000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93AB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C0BF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7CD29625" w14:textId="77777777" w:rsidTr="00F5676E">
        <w:trPr>
          <w:trHeight w:val="2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EF0B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296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1938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Toner do Xerox 6125, </w:t>
            </w:r>
            <w:proofErr w:type="spellStart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yellow</w:t>
            </w:r>
            <w:proofErr w:type="spellEnd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, min. wyd. 1000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30DE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95FB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2EADBAA7" w14:textId="77777777" w:rsidTr="00F5676E">
        <w:trPr>
          <w:trHeight w:val="27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DD69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305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F82A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Toner do Xerox 6140, czarny, min. wyd. 2000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0FC5" w14:textId="27077278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r w:rsidR="00F5676E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A7FF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74673CFA" w14:textId="77777777" w:rsidTr="00F5676E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A6A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306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4DE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Toner do Xerox 6140, </w:t>
            </w:r>
            <w:proofErr w:type="spellStart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cyan</w:t>
            </w:r>
            <w:proofErr w:type="spellEnd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, min. </w:t>
            </w:r>
            <w:proofErr w:type="spellStart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wyd</w:t>
            </w:r>
            <w:proofErr w:type="spellEnd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, 2000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C2C1" w14:textId="63BF3BE9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r w:rsidR="00F5676E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323D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4C025261" w14:textId="77777777" w:rsidTr="00F5676E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3589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307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A634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Toner do Xerox 6140, </w:t>
            </w:r>
            <w:proofErr w:type="spellStart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magenta</w:t>
            </w:r>
            <w:proofErr w:type="spellEnd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, min. wyd. 2000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0623" w14:textId="3A6A3D13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r w:rsidR="00F5676E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401C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B0066" w:rsidRPr="003B0066" w14:paraId="624CBED4" w14:textId="77777777" w:rsidTr="00F5676E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35C6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308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AF0" w14:textId="77777777" w:rsidR="003B0066" w:rsidRPr="003B0066" w:rsidRDefault="003B0066" w:rsidP="003B0066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Toner do Xerox 6140, </w:t>
            </w:r>
            <w:proofErr w:type="spellStart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yellow</w:t>
            </w:r>
            <w:proofErr w:type="spellEnd"/>
            <w:r w:rsidRPr="003B0066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, min. wyd. 2000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B0E6" w14:textId="18B5DD2B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r w:rsidR="00F5676E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1484" w14:textId="77777777" w:rsidR="003B0066" w:rsidRPr="003B0066" w:rsidRDefault="003B0066" w:rsidP="003B006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0066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F5676E" w:rsidRPr="00F5676E" w14:paraId="0E91FE6D" w14:textId="77777777" w:rsidTr="00F5676E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2385" w14:textId="77777777" w:rsidR="00F5676E" w:rsidRPr="00F5676E" w:rsidRDefault="00F5676E" w:rsidP="00F5676E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5676E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332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81DA" w14:textId="77777777" w:rsidR="00F5676E" w:rsidRPr="00F5676E" w:rsidRDefault="00F5676E" w:rsidP="00F5676E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 w:rsidRPr="00F5676E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Tusz do Canon </w:t>
            </w:r>
            <w:proofErr w:type="spellStart"/>
            <w:r w:rsidRPr="00F5676E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>Pixma</w:t>
            </w:r>
            <w:proofErr w:type="spellEnd"/>
            <w:r w:rsidRPr="00F5676E">
              <w:rPr>
                <w:rFonts w:cs="Times New Roman"/>
                <w:kern w:val="0"/>
                <w:sz w:val="18"/>
                <w:szCs w:val="18"/>
                <w:lang w:eastAsia="pl-PL" w:bidi="ar-SA"/>
              </w:rPr>
              <w:t xml:space="preserve"> MX310, kolor, min. poj. 21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6E8D" w14:textId="77777777" w:rsidR="00F5676E" w:rsidRPr="00F5676E" w:rsidRDefault="00F5676E" w:rsidP="00F5676E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5676E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CF7E" w14:textId="77777777" w:rsidR="00F5676E" w:rsidRPr="00F5676E" w:rsidRDefault="00F5676E" w:rsidP="00F5676E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5676E"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</w:tbl>
    <w:p w14:paraId="0A21F264" w14:textId="77777777" w:rsidR="003B0066" w:rsidRDefault="003B0066" w:rsidP="003B0066">
      <w:pPr>
        <w:spacing w:line="360" w:lineRule="auto"/>
        <w:jc w:val="both"/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</w:pPr>
    </w:p>
    <w:p w14:paraId="25208FFD" w14:textId="0BA8BEC2" w:rsidR="00D6198C" w:rsidRPr="00F7361B" w:rsidRDefault="00D43E36" w:rsidP="00C937E8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lastRenderedPageBreak/>
        <w:t>Odp</w:t>
      </w:r>
      <w:r w:rsidR="00F7361B" w:rsidRPr="00F7361B">
        <w:rPr>
          <w:rFonts w:cs="Times New Roman"/>
          <w:sz w:val="22"/>
          <w:szCs w:val="22"/>
          <w:u w:val="single"/>
        </w:rPr>
        <w:t>owiedź</w:t>
      </w:r>
    </w:p>
    <w:p w14:paraId="4B7127E3" w14:textId="170B4249" w:rsidR="008F5742" w:rsidRDefault="002A0EA0" w:rsidP="002A0EA0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wykreśla z Formularza przedmiotowo-cenowego poz. 16, 79, 190, 192, 206, 293, 294, 295, 296, 305, 306, 307, 308, 332.</w:t>
      </w:r>
    </w:p>
    <w:p w14:paraId="25FAB9CC" w14:textId="77777777" w:rsidR="002A0EA0" w:rsidRDefault="002A0EA0" w:rsidP="002A0EA0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5E422DEE" w14:textId="08696AC0" w:rsidR="002A0EA0" w:rsidRDefault="002A0EA0" w:rsidP="002A0EA0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pozostawia poz. 106, 122, 129, 133, 159, i 170. Z wiedzy zamawiającego tonery HP wskazane w </w:t>
      </w:r>
      <w:proofErr w:type="spellStart"/>
      <w:r>
        <w:rPr>
          <w:rFonts w:cs="Times New Roman"/>
          <w:sz w:val="22"/>
          <w:szCs w:val="22"/>
        </w:rPr>
        <w:t>ww</w:t>
      </w:r>
      <w:proofErr w:type="spellEnd"/>
      <w:r>
        <w:rPr>
          <w:rFonts w:cs="Times New Roman"/>
          <w:sz w:val="22"/>
          <w:szCs w:val="22"/>
        </w:rPr>
        <w:t xml:space="preserve"> pozycjach nie posiadają</w:t>
      </w:r>
      <w:r w:rsidRPr="002A0EA0">
        <w:rPr>
          <w:rFonts w:cs="Times New Roman"/>
          <w:color w:val="000000"/>
          <w:sz w:val="22"/>
          <w:szCs w:val="22"/>
          <w:shd w:val="clear" w:color="auto" w:fill="FFFFFF"/>
        </w:rPr>
        <w:t xml:space="preserve"> oficjalnej daty przydatności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. Potencjalni wykonawcy mogą posiadać  egzemplarz</w:t>
      </w:r>
      <w:r w:rsidR="007F63FA">
        <w:rPr>
          <w:rFonts w:cs="Times New Roman"/>
          <w:color w:val="000000"/>
          <w:sz w:val="22"/>
          <w:szCs w:val="22"/>
          <w:shd w:val="clear" w:color="auto" w:fill="FFFFFF"/>
        </w:rPr>
        <w:t>e w swoich magazynach w celu zrealizowania zamówienia. P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onadto zamawiający dopusz</w:t>
      </w:r>
      <w:r w:rsidR="009F6F48">
        <w:rPr>
          <w:rFonts w:cs="Times New Roman"/>
          <w:color w:val="000000"/>
          <w:sz w:val="22"/>
          <w:szCs w:val="22"/>
          <w:shd w:val="clear" w:color="auto" w:fill="FFFFFF"/>
        </w:rPr>
        <w:t>cz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a </w:t>
      </w:r>
      <w:r w:rsidR="009F6F48">
        <w:rPr>
          <w:rFonts w:cs="Times New Roman"/>
          <w:color w:val="000000"/>
          <w:sz w:val="22"/>
          <w:szCs w:val="22"/>
          <w:shd w:val="clear" w:color="auto" w:fill="FFFFFF"/>
        </w:rPr>
        <w:t>zaoferowanie materiałów równoważnych.</w:t>
      </w:r>
    </w:p>
    <w:p w14:paraId="2BE8EB77" w14:textId="77777777" w:rsidR="002A0EA0" w:rsidRDefault="002A0EA0" w:rsidP="00C937E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F1400D6" w14:textId="018BB37A" w:rsidR="008F5742" w:rsidRPr="007F63FA" w:rsidRDefault="008F5742" w:rsidP="00C937E8">
      <w:p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 w:rsidRPr="007F63FA">
        <w:rPr>
          <w:rFonts w:cs="Times New Roman"/>
          <w:b/>
          <w:sz w:val="22"/>
          <w:szCs w:val="22"/>
          <w:u w:val="single"/>
        </w:rPr>
        <w:t>Pytanie 2</w:t>
      </w:r>
    </w:p>
    <w:p w14:paraId="4D70F59F" w14:textId="6770F335" w:rsidR="008F5742" w:rsidRDefault="008F5742" w:rsidP="008F5742">
      <w:pPr>
        <w:spacing w:line="276" w:lineRule="auto"/>
        <w:jc w:val="both"/>
        <w:rPr>
          <w:sz w:val="22"/>
          <w:szCs w:val="22"/>
        </w:rPr>
      </w:pPr>
      <w:r w:rsidRPr="007F63FA">
        <w:rPr>
          <w:bCs/>
          <w:sz w:val="22"/>
          <w:szCs w:val="22"/>
        </w:rPr>
        <w:t>Poz. 111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Zgodnie z informacją producenta urządzenia prawidłowa wydajność tonera we wskazanej pozycji to 2560 str. (a nie jak zamawiający wskazuje 2700 str.)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474"/>
        <w:gridCol w:w="709"/>
        <w:gridCol w:w="708"/>
      </w:tblGrid>
      <w:tr w:rsidR="008F5742" w:rsidRPr="008F5742" w14:paraId="7775FB2C" w14:textId="77777777" w:rsidTr="008F5742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BFFE" w14:textId="04A18A2B" w:rsidR="008F5742" w:rsidRPr="008F5742" w:rsidRDefault="008F5742" w:rsidP="008F5742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2014" w14:textId="7CCF9F05" w:rsidR="008F5742" w:rsidRPr="008F5742" w:rsidRDefault="008F5742" w:rsidP="008F5742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20"/>
                <w:szCs w:val="20"/>
              </w:rPr>
              <w:t xml:space="preserve">Toner do HP LJ Pro 400M 401dne, czarny, min. wyd. 2700 stron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90EF" w14:textId="635D5844" w:rsidR="008F5742" w:rsidRPr="008F5742" w:rsidRDefault="008F5742" w:rsidP="008F5742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E96D" w14:textId="77E49622" w:rsidR="008F5742" w:rsidRPr="008F5742" w:rsidRDefault="008F5742" w:rsidP="008F5742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</w:tbl>
    <w:p w14:paraId="576C4BC5" w14:textId="77777777" w:rsidR="008F5742" w:rsidRDefault="008F5742" w:rsidP="00C937E8">
      <w:pPr>
        <w:spacing w:line="360" w:lineRule="auto"/>
        <w:jc w:val="both"/>
        <w:rPr>
          <w:sz w:val="22"/>
          <w:szCs w:val="22"/>
          <w:u w:val="single"/>
        </w:rPr>
      </w:pPr>
    </w:p>
    <w:p w14:paraId="499A9A82" w14:textId="4B264BF0" w:rsidR="008F5742" w:rsidRDefault="008F5742" w:rsidP="00C937E8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Prosimy o poprawę w formularzu.</w:t>
      </w:r>
    </w:p>
    <w:p w14:paraId="732F38AE" w14:textId="63AAE234" w:rsidR="008F5742" w:rsidRDefault="008F5742" w:rsidP="00C937E8">
      <w:pPr>
        <w:spacing w:line="360" w:lineRule="auto"/>
        <w:jc w:val="both"/>
        <w:rPr>
          <w:sz w:val="22"/>
          <w:szCs w:val="22"/>
          <w:u w:val="single"/>
        </w:rPr>
      </w:pPr>
      <w:r w:rsidRPr="008F5742">
        <w:rPr>
          <w:sz w:val="22"/>
          <w:szCs w:val="22"/>
          <w:u w:val="single"/>
        </w:rPr>
        <w:t>Odpowiedź</w:t>
      </w:r>
    </w:p>
    <w:p w14:paraId="173C0072" w14:textId="11DA4C40" w:rsidR="008F5742" w:rsidRPr="009F6F48" w:rsidRDefault="009F6F48" w:rsidP="00C937E8">
      <w:pPr>
        <w:spacing w:line="360" w:lineRule="auto"/>
        <w:jc w:val="both"/>
        <w:rPr>
          <w:sz w:val="22"/>
          <w:szCs w:val="22"/>
        </w:rPr>
      </w:pPr>
      <w:r w:rsidRPr="009F6F48">
        <w:rPr>
          <w:sz w:val="22"/>
          <w:szCs w:val="22"/>
        </w:rPr>
        <w:t xml:space="preserve">Zamawiający dokona zmian w </w:t>
      </w:r>
      <w:r w:rsidR="007F63FA">
        <w:rPr>
          <w:sz w:val="22"/>
          <w:szCs w:val="22"/>
        </w:rPr>
        <w:t>Formularzu przedmiotowo-cenowym</w:t>
      </w:r>
      <w:r w:rsidRPr="009F6F48">
        <w:rPr>
          <w:sz w:val="22"/>
          <w:szCs w:val="22"/>
        </w:rPr>
        <w:t>.</w:t>
      </w:r>
    </w:p>
    <w:p w14:paraId="586EE72D" w14:textId="77777777" w:rsidR="009F6F48" w:rsidRDefault="009F6F48" w:rsidP="00C937E8">
      <w:pPr>
        <w:spacing w:line="360" w:lineRule="auto"/>
        <w:jc w:val="both"/>
        <w:rPr>
          <w:sz w:val="22"/>
          <w:szCs w:val="22"/>
          <w:u w:val="single"/>
        </w:rPr>
      </w:pPr>
    </w:p>
    <w:p w14:paraId="73E9C91D" w14:textId="6AD5441C" w:rsidR="008F5742" w:rsidRPr="007F63FA" w:rsidRDefault="008F5742" w:rsidP="00C937E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F63FA">
        <w:rPr>
          <w:b/>
          <w:sz w:val="22"/>
          <w:szCs w:val="22"/>
          <w:u w:val="single"/>
        </w:rPr>
        <w:t>Pytanie 3</w:t>
      </w:r>
    </w:p>
    <w:p w14:paraId="12A2D9A4" w14:textId="42B0DCB5" w:rsidR="008F5742" w:rsidRPr="008F5742" w:rsidRDefault="008F5742" w:rsidP="00C937E8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7F63FA">
        <w:rPr>
          <w:bCs/>
          <w:sz w:val="22"/>
          <w:szCs w:val="22"/>
        </w:rPr>
        <w:t>Poz. 238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Zgodnie z informacją producenta urządzenia prawidłowa wydajność tonera we wskazanej pozycji to 4000 str. (a nie jak zamawiający wskazuje 6400 str.)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474"/>
        <w:gridCol w:w="709"/>
        <w:gridCol w:w="708"/>
      </w:tblGrid>
      <w:tr w:rsidR="008F5742" w:rsidRPr="008F5742" w14:paraId="1C5C40B3" w14:textId="77777777" w:rsidTr="006A70D9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7103" w14:textId="38E8AC70" w:rsidR="008F5742" w:rsidRPr="008F5742" w:rsidRDefault="008F5742" w:rsidP="008F5742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  <w:t>238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5B34" w14:textId="22CEB3C8" w:rsidR="008F5742" w:rsidRPr="008F5742" w:rsidRDefault="008F5742" w:rsidP="008F5742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20"/>
                <w:szCs w:val="20"/>
              </w:rPr>
              <w:t xml:space="preserve">Tusz do Epson ITS L3060, czarny, min. wyd. 6400 stron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AEEF" w14:textId="4C7D3AA6" w:rsidR="008F5742" w:rsidRPr="008F5742" w:rsidRDefault="008F5742" w:rsidP="008F5742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E6E2" w14:textId="5BDD5E36" w:rsidR="008F5742" w:rsidRPr="008F5742" w:rsidRDefault="008F5742" w:rsidP="008F5742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</w:tr>
    </w:tbl>
    <w:p w14:paraId="71715A4A" w14:textId="77777777" w:rsidR="00D6198C" w:rsidRDefault="00D6198C" w:rsidP="00C937E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2D51E47" w14:textId="54F758EB" w:rsidR="0070109C" w:rsidRDefault="0070109C" w:rsidP="00C937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Prosimy o poprawę w formularzu.</w:t>
      </w:r>
    </w:p>
    <w:p w14:paraId="4BE01F15" w14:textId="77777777" w:rsidR="009F6F48" w:rsidRDefault="009F6F48" w:rsidP="009F6F48">
      <w:pPr>
        <w:spacing w:line="360" w:lineRule="auto"/>
        <w:jc w:val="both"/>
        <w:rPr>
          <w:sz w:val="22"/>
          <w:szCs w:val="22"/>
          <w:u w:val="single"/>
        </w:rPr>
      </w:pPr>
    </w:p>
    <w:p w14:paraId="21BF2C00" w14:textId="77777777" w:rsidR="009F6F48" w:rsidRDefault="009F6F48" w:rsidP="009F6F48">
      <w:pPr>
        <w:spacing w:line="360" w:lineRule="auto"/>
        <w:jc w:val="both"/>
        <w:rPr>
          <w:sz w:val="22"/>
          <w:szCs w:val="22"/>
          <w:u w:val="single"/>
        </w:rPr>
      </w:pPr>
      <w:r w:rsidRPr="008F5742">
        <w:rPr>
          <w:sz w:val="22"/>
          <w:szCs w:val="22"/>
          <w:u w:val="single"/>
        </w:rPr>
        <w:t>Odpowiedź</w:t>
      </w:r>
    </w:p>
    <w:p w14:paraId="3378267B" w14:textId="77777777" w:rsidR="00EE68B8" w:rsidRPr="009F6F48" w:rsidRDefault="00EE68B8" w:rsidP="00EE68B8">
      <w:pPr>
        <w:spacing w:line="360" w:lineRule="auto"/>
        <w:jc w:val="both"/>
        <w:rPr>
          <w:sz w:val="22"/>
          <w:szCs w:val="22"/>
        </w:rPr>
      </w:pPr>
      <w:r w:rsidRPr="009F6F48">
        <w:rPr>
          <w:sz w:val="22"/>
          <w:szCs w:val="22"/>
        </w:rPr>
        <w:t xml:space="preserve">Zamawiający dokona zmian w </w:t>
      </w:r>
      <w:r>
        <w:rPr>
          <w:sz w:val="22"/>
          <w:szCs w:val="22"/>
        </w:rPr>
        <w:t>Formularzu przedmiotowo-cenowym</w:t>
      </w:r>
      <w:r w:rsidRPr="009F6F48">
        <w:rPr>
          <w:sz w:val="22"/>
          <w:szCs w:val="22"/>
        </w:rPr>
        <w:t>.</w:t>
      </w:r>
    </w:p>
    <w:p w14:paraId="301B0205" w14:textId="77777777" w:rsidR="0070109C" w:rsidRDefault="0070109C" w:rsidP="00C937E8">
      <w:pPr>
        <w:spacing w:line="360" w:lineRule="auto"/>
        <w:jc w:val="both"/>
        <w:rPr>
          <w:sz w:val="22"/>
          <w:szCs w:val="22"/>
        </w:rPr>
      </w:pPr>
    </w:p>
    <w:p w14:paraId="17293AB5" w14:textId="1C8ACA5D" w:rsidR="0070109C" w:rsidRPr="007F63FA" w:rsidRDefault="0070109C" w:rsidP="00C937E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F63FA">
        <w:rPr>
          <w:b/>
          <w:sz w:val="22"/>
          <w:szCs w:val="22"/>
          <w:u w:val="single"/>
        </w:rPr>
        <w:t>Pytanie 4</w:t>
      </w:r>
    </w:p>
    <w:p w14:paraId="13820CFB" w14:textId="13229871" w:rsidR="0070109C" w:rsidRDefault="0070109C" w:rsidP="00C937E8">
      <w:pPr>
        <w:spacing w:line="360" w:lineRule="auto"/>
        <w:jc w:val="both"/>
        <w:rPr>
          <w:sz w:val="22"/>
          <w:szCs w:val="22"/>
        </w:rPr>
      </w:pPr>
      <w:r w:rsidRPr="007F63FA">
        <w:rPr>
          <w:bCs/>
          <w:sz w:val="22"/>
          <w:szCs w:val="22"/>
        </w:rPr>
        <w:t>Poz. 364-367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Zgodnie z informacją producenta urządzenia prawidłowa wydajność tonera we wskazanej pozycji to odpowiednio:</w:t>
      </w:r>
    </w:p>
    <w:p w14:paraId="7D15D4EB" w14:textId="77777777" w:rsidR="0070109C" w:rsidRPr="0070109C" w:rsidRDefault="0070109C" w:rsidP="0070109C">
      <w:pPr>
        <w:spacing w:line="360" w:lineRule="auto"/>
        <w:jc w:val="center"/>
        <w:rPr>
          <w:sz w:val="22"/>
          <w:szCs w:val="22"/>
        </w:rPr>
      </w:pPr>
      <w:r w:rsidRPr="0070109C">
        <w:rPr>
          <w:sz w:val="22"/>
          <w:szCs w:val="22"/>
        </w:rPr>
        <w:t>1500 str.</w:t>
      </w:r>
    </w:p>
    <w:p w14:paraId="49963667" w14:textId="77777777" w:rsidR="0070109C" w:rsidRPr="0070109C" w:rsidRDefault="0070109C" w:rsidP="0070109C">
      <w:pPr>
        <w:spacing w:line="360" w:lineRule="auto"/>
        <w:jc w:val="center"/>
        <w:rPr>
          <w:sz w:val="22"/>
          <w:szCs w:val="22"/>
        </w:rPr>
      </w:pPr>
      <w:r w:rsidRPr="0070109C">
        <w:rPr>
          <w:sz w:val="22"/>
          <w:szCs w:val="22"/>
        </w:rPr>
        <w:t xml:space="preserve">1000 </w:t>
      </w:r>
      <w:proofErr w:type="spellStart"/>
      <w:r w:rsidRPr="0070109C">
        <w:rPr>
          <w:sz w:val="22"/>
          <w:szCs w:val="22"/>
        </w:rPr>
        <w:t>str</w:t>
      </w:r>
      <w:proofErr w:type="spellEnd"/>
    </w:p>
    <w:p w14:paraId="22B1F126" w14:textId="77777777" w:rsidR="0070109C" w:rsidRPr="0070109C" w:rsidRDefault="0070109C" w:rsidP="0070109C">
      <w:pPr>
        <w:spacing w:line="360" w:lineRule="auto"/>
        <w:jc w:val="center"/>
        <w:rPr>
          <w:sz w:val="22"/>
          <w:szCs w:val="22"/>
        </w:rPr>
      </w:pPr>
      <w:r w:rsidRPr="0070109C">
        <w:rPr>
          <w:sz w:val="22"/>
          <w:szCs w:val="22"/>
        </w:rPr>
        <w:t xml:space="preserve">1000 </w:t>
      </w:r>
      <w:proofErr w:type="spellStart"/>
      <w:r w:rsidRPr="0070109C">
        <w:rPr>
          <w:sz w:val="22"/>
          <w:szCs w:val="22"/>
        </w:rPr>
        <w:t>str</w:t>
      </w:r>
      <w:proofErr w:type="spellEnd"/>
    </w:p>
    <w:p w14:paraId="313EEAB6" w14:textId="1F7D0F94" w:rsidR="0070109C" w:rsidRPr="0070109C" w:rsidRDefault="0070109C" w:rsidP="0070109C">
      <w:pPr>
        <w:spacing w:line="360" w:lineRule="auto"/>
        <w:jc w:val="center"/>
        <w:rPr>
          <w:sz w:val="22"/>
          <w:szCs w:val="22"/>
        </w:rPr>
      </w:pPr>
      <w:r w:rsidRPr="0070109C">
        <w:rPr>
          <w:sz w:val="22"/>
          <w:szCs w:val="22"/>
        </w:rPr>
        <w:t xml:space="preserve">1000 </w:t>
      </w:r>
      <w:proofErr w:type="spellStart"/>
      <w:r w:rsidRPr="0070109C">
        <w:rPr>
          <w:sz w:val="22"/>
          <w:szCs w:val="22"/>
        </w:rPr>
        <w:t>str</w:t>
      </w:r>
      <w:proofErr w:type="spellEnd"/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474"/>
        <w:gridCol w:w="709"/>
        <w:gridCol w:w="708"/>
      </w:tblGrid>
      <w:tr w:rsidR="0070109C" w:rsidRPr="0070109C" w14:paraId="7CA7C2AB" w14:textId="77777777" w:rsidTr="00587390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F304" w14:textId="1CCCF669" w:rsidR="0070109C" w:rsidRPr="0070109C" w:rsidRDefault="0070109C" w:rsidP="0070109C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364 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9307" w14:textId="265B747A" w:rsidR="0070109C" w:rsidRPr="0070109C" w:rsidRDefault="0070109C" w:rsidP="0070109C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20"/>
                <w:szCs w:val="20"/>
              </w:rPr>
              <w:t xml:space="preserve">Toner do Samsung CLX-3185, czarny, min. wyd. 4500 stron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702F" w14:textId="41427731" w:rsidR="0070109C" w:rsidRPr="0070109C" w:rsidRDefault="0070109C" w:rsidP="0070109C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973C" w14:textId="05AC8535" w:rsidR="0070109C" w:rsidRPr="0070109C" w:rsidRDefault="0070109C" w:rsidP="0070109C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0109C" w:rsidRPr="0070109C" w14:paraId="3AA7DE65" w14:textId="77777777" w:rsidTr="00587390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93952" w14:textId="48A4D6A8" w:rsidR="0070109C" w:rsidRDefault="0070109C" w:rsidP="0070109C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365 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EA3C" w14:textId="76CBC8B0" w:rsidR="0070109C" w:rsidRDefault="0070109C" w:rsidP="0070109C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do Samsung CLX-3185, </w:t>
            </w:r>
            <w:proofErr w:type="spellStart"/>
            <w:r>
              <w:rPr>
                <w:sz w:val="20"/>
                <w:szCs w:val="20"/>
              </w:rPr>
              <w:t>cyan</w:t>
            </w:r>
            <w:proofErr w:type="spellEnd"/>
            <w:r>
              <w:rPr>
                <w:sz w:val="20"/>
                <w:szCs w:val="20"/>
              </w:rPr>
              <w:t xml:space="preserve">, min. wyd. 4500 stron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EEBC4" w14:textId="02DF0A18" w:rsidR="0070109C" w:rsidRDefault="0070109C" w:rsidP="0070109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B497" w14:textId="4192DB76" w:rsidR="0070109C" w:rsidRDefault="0070109C" w:rsidP="0070109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0109C" w:rsidRPr="0070109C" w14:paraId="731703A1" w14:textId="77777777" w:rsidTr="00587390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08EF" w14:textId="4C72292A" w:rsidR="0070109C" w:rsidRDefault="0070109C" w:rsidP="0070109C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366 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8ACC" w14:textId="52A21F87" w:rsidR="0070109C" w:rsidRDefault="0070109C" w:rsidP="0070109C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do Samsung CLX-3185, </w:t>
            </w:r>
            <w:proofErr w:type="spellStart"/>
            <w:r>
              <w:rPr>
                <w:sz w:val="20"/>
                <w:szCs w:val="20"/>
              </w:rPr>
              <w:t>magenta</w:t>
            </w:r>
            <w:proofErr w:type="spellEnd"/>
            <w:r>
              <w:rPr>
                <w:sz w:val="20"/>
                <w:szCs w:val="20"/>
              </w:rPr>
              <w:t xml:space="preserve">, min. wyd. 4500 stron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8303" w14:textId="30A04DC5" w:rsidR="0070109C" w:rsidRDefault="0070109C" w:rsidP="0070109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C7D4" w14:textId="10D43C3C" w:rsidR="0070109C" w:rsidRDefault="0070109C" w:rsidP="0070109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0109C" w:rsidRPr="0070109C" w14:paraId="188FC413" w14:textId="77777777" w:rsidTr="00587390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E88B" w14:textId="161D070B" w:rsidR="0070109C" w:rsidRDefault="0070109C" w:rsidP="0070109C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367 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D032" w14:textId="72A3E5BE" w:rsidR="0070109C" w:rsidRDefault="0070109C" w:rsidP="0070109C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do Samsung CLX-3185, </w:t>
            </w:r>
            <w:proofErr w:type="spellStart"/>
            <w:r>
              <w:rPr>
                <w:sz w:val="20"/>
                <w:szCs w:val="20"/>
              </w:rPr>
              <w:t>yellow</w:t>
            </w:r>
            <w:proofErr w:type="spellEnd"/>
            <w:r>
              <w:rPr>
                <w:sz w:val="20"/>
                <w:szCs w:val="20"/>
              </w:rPr>
              <w:t xml:space="preserve">, min. wyd. 4500 stron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F4BE" w14:textId="14B1A56F" w:rsidR="0070109C" w:rsidRDefault="0070109C" w:rsidP="0070109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0EA0D" w14:textId="7E244D17" w:rsidR="0070109C" w:rsidRDefault="0070109C" w:rsidP="0070109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</w:tbl>
    <w:p w14:paraId="1BCB7344" w14:textId="77777777" w:rsidR="0070109C" w:rsidRDefault="0070109C" w:rsidP="00C937E8">
      <w:pPr>
        <w:spacing w:line="360" w:lineRule="auto"/>
        <w:jc w:val="both"/>
        <w:rPr>
          <w:sz w:val="22"/>
          <w:szCs w:val="22"/>
        </w:rPr>
      </w:pPr>
    </w:p>
    <w:p w14:paraId="4AE40D36" w14:textId="35E215D7" w:rsidR="0070109C" w:rsidRDefault="0070109C" w:rsidP="00C937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Prosimy o poprawę w formularzu.</w:t>
      </w:r>
    </w:p>
    <w:p w14:paraId="79CC30F6" w14:textId="77777777" w:rsidR="009F6F48" w:rsidRDefault="009F6F48" w:rsidP="009F6F48">
      <w:pPr>
        <w:spacing w:line="360" w:lineRule="auto"/>
        <w:jc w:val="both"/>
        <w:rPr>
          <w:sz w:val="22"/>
          <w:szCs w:val="22"/>
          <w:u w:val="single"/>
        </w:rPr>
      </w:pPr>
      <w:r w:rsidRPr="008F5742">
        <w:rPr>
          <w:sz w:val="22"/>
          <w:szCs w:val="22"/>
          <w:u w:val="single"/>
        </w:rPr>
        <w:t>Odpowiedź</w:t>
      </w:r>
    </w:p>
    <w:p w14:paraId="23691421" w14:textId="77777777" w:rsidR="00EE68B8" w:rsidRPr="009F6F48" w:rsidRDefault="00EE68B8" w:rsidP="00EE68B8">
      <w:pPr>
        <w:spacing w:line="360" w:lineRule="auto"/>
        <w:jc w:val="both"/>
        <w:rPr>
          <w:sz w:val="22"/>
          <w:szCs w:val="22"/>
        </w:rPr>
      </w:pPr>
      <w:r w:rsidRPr="009F6F48">
        <w:rPr>
          <w:sz w:val="22"/>
          <w:szCs w:val="22"/>
        </w:rPr>
        <w:t xml:space="preserve">Zamawiający dokona zmian w </w:t>
      </w:r>
      <w:r>
        <w:rPr>
          <w:sz w:val="22"/>
          <w:szCs w:val="22"/>
        </w:rPr>
        <w:t>Formularzu przedmiotowo-cenowym</w:t>
      </w:r>
      <w:r w:rsidRPr="009F6F48">
        <w:rPr>
          <w:sz w:val="22"/>
          <w:szCs w:val="22"/>
        </w:rPr>
        <w:t>.</w:t>
      </w:r>
    </w:p>
    <w:p w14:paraId="48CA8630" w14:textId="0B763DFB" w:rsidR="0070109C" w:rsidRPr="007F63FA" w:rsidRDefault="0070109C" w:rsidP="00C937E8">
      <w:p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 w:rsidRPr="007F63FA">
        <w:rPr>
          <w:rFonts w:cs="Times New Roman"/>
          <w:b/>
          <w:sz w:val="22"/>
          <w:szCs w:val="22"/>
          <w:u w:val="single"/>
        </w:rPr>
        <w:lastRenderedPageBreak/>
        <w:t>Pytanie 5</w:t>
      </w:r>
    </w:p>
    <w:p w14:paraId="5B84F605" w14:textId="77777777" w:rsidR="0070109C" w:rsidRPr="007F63FA" w:rsidRDefault="0070109C" w:rsidP="0070109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7F63FA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Zapis SWZ: </w:t>
      </w:r>
    </w:p>
    <w:p w14:paraId="16DF0153" w14:textId="77777777" w:rsidR="0070109C" w:rsidRPr="0070109C" w:rsidRDefault="0070109C" w:rsidP="0070109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70109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PKT IV 2. Pod pojęciem </w:t>
      </w:r>
      <w:r w:rsidRPr="0070109C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„fabrycznie nowe” </w:t>
      </w:r>
      <w:r w:rsidRPr="0070109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Zamawiający rozumie produkty nie używane, wolne od wad fizycznych i prawnych, z datą ważności </w:t>
      </w:r>
      <w:r w:rsidRPr="0070109C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min. 6 miesięcy przed datą dostawy. </w:t>
      </w:r>
    </w:p>
    <w:p w14:paraId="04428906" w14:textId="77777777" w:rsidR="0070109C" w:rsidRPr="0070109C" w:rsidRDefault="0070109C" w:rsidP="0070109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70109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Posiadamy 30 letnie doświadczenie w branży materiałów eksploatacyjnych i zarówno my, jak i nasi dostawcy, a nawet sami producenci, nie jesteśmy w stanie zagwarantować, że dostarczone produkty będą miały wskazany wyżej termin ważności. Wynika to z faktu, że większość materiałów eksploatacyjnych produkowanych jest w Azji i zazwyczaj sam ich transport drogą morską (w tym załadunek i rozładunek, oczekiwanie na wejście do portu), a później lądową (podczas której jest alokowany w europejskich centrach dystrybucyjnych producentów, a stamtąd rozsyłany do poszczególnych krajów) trwa kilka miesięcy. W wyniku tego towar docierający do dystrybutorów w Polsce w większości przypadków nie może spełniać wymogu „z datą ważności </w:t>
      </w:r>
      <w:r w:rsidRPr="0070109C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min. 6 miesięcy przed datą dostawy</w:t>
      </w:r>
      <w:r w:rsidRPr="0070109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”. Część produktów wymaganych przez Zamawiającego to produkty dostępne na zamówienie. Chcąc sprostać wymaganiom co do terminu dostaw jako potencjalny Wykonawca będziemy musieli częściowo </w:t>
      </w:r>
      <w:proofErr w:type="spellStart"/>
      <w:r w:rsidRPr="0070109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zatowarować</w:t>
      </w:r>
      <w:proofErr w:type="spellEnd"/>
      <w:r w:rsidRPr="0070109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nasz magazyn. Biorąc pod uwagę powyższą argumentację i różnorodność produktów oraz wymagane ilości niemożliwym staje się zapewnienie wymaganej daty ważności. </w:t>
      </w:r>
    </w:p>
    <w:p w14:paraId="078F63AE" w14:textId="77777777" w:rsidR="0070109C" w:rsidRPr="0070109C" w:rsidRDefault="0070109C" w:rsidP="0070109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70109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Ponadto informujemy, że w celu zagwarantowania najwyższej jakości każdy producent materiałów eksploatacyjnych określa termin przydatności oraz udziela gwarancji na swoje produkty (nawet dożywotniej tj. do wyczerpania środka barwiącego). Mając na uwadze powyższe jesteśmy w stanie zagwarantować, że dostarczone przez naszą firmę materiały eksploatacyjne będą pochodziły wyłącznie z autoryzowanej dystrybucji i sprostają wymaganiom Zamawiającego co do jakości i niezawodności. </w:t>
      </w:r>
    </w:p>
    <w:p w14:paraId="52348293" w14:textId="22EFBC0A" w:rsidR="0070109C" w:rsidRPr="0070109C" w:rsidRDefault="0070109C" w:rsidP="0070109C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70109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W świetle powyższego, złożenie oferty przez jakiegokolwiek oferenta przy podtrzymaniu w/w zapisów SIWZ byłoby złożeniem fałszywego oświadczenia woli, ponieważ żaden z potencjalnych producentów i wykonawców nie będzie w stanie zagwarantować dostaw materiałów z datą ważności </w:t>
      </w:r>
      <w:r w:rsidRPr="0070109C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min. 6 miesięcy przed datą dostawy</w:t>
      </w:r>
      <w:r w:rsidRPr="0070109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. W związku z powyższym zwracamy się z prośbą o wykreślenie wyżej opisanego zapisu.</w:t>
      </w:r>
    </w:p>
    <w:p w14:paraId="53C8BE51" w14:textId="77777777" w:rsidR="0070109C" w:rsidRDefault="0070109C" w:rsidP="0070109C">
      <w:pPr>
        <w:spacing w:line="360" w:lineRule="auto"/>
        <w:jc w:val="both"/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</w:pPr>
    </w:p>
    <w:p w14:paraId="620D9D74" w14:textId="1335D102" w:rsidR="0070109C" w:rsidRDefault="0070109C" w:rsidP="0070109C">
      <w:pPr>
        <w:spacing w:line="360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70109C">
        <w:rPr>
          <w:rFonts w:eastAsiaTheme="minorHAnsi" w:cs="Times New Roman"/>
          <w:color w:val="000000"/>
          <w:kern w:val="0"/>
          <w:sz w:val="22"/>
          <w:szCs w:val="22"/>
          <w:u w:val="single"/>
          <w:lang w:eastAsia="en-US" w:bidi="ar-SA"/>
        </w:rPr>
        <w:t>Odpowiedź</w:t>
      </w:r>
    </w:p>
    <w:p w14:paraId="66DD0074" w14:textId="30B5CCB0" w:rsidR="0070109C" w:rsidRPr="0070109C" w:rsidRDefault="0070109C" w:rsidP="0070109C">
      <w:pPr>
        <w:spacing w:line="360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70109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Zamawiający 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wyraża zgodę</w:t>
      </w:r>
      <w:r w:rsidR="002C11E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na wykreślenie </w:t>
      </w:r>
      <w:r w:rsidR="00D76BB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z </w:t>
      </w:r>
      <w:r w:rsidR="009F6F48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treści </w:t>
      </w:r>
      <w:r w:rsidR="00D76BB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SWZ </w:t>
      </w:r>
      <w:r w:rsidR="002C11E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zapisu</w:t>
      </w:r>
      <w:r w:rsidR="009F6F48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: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D76BB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„</w:t>
      </w:r>
      <w:r w:rsidR="00D76BBC" w:rsidRPr="0070109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z datą ważności </w:t>
      </w:r>
      <w:r w:rsidR="00D76BBC" w:rsidRPr="0070109C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min. 6 miesięcy przed datą dostawy</w:t>
      </w:r>
      <w:r w:rsidR="00D76BBC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”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.</w:t>
      </w:r>
    </w:p>
    <w:p w14:paraId="47EA6BE4" w14:textId="77777777" w:rsidR="0070109C" w:rsidRDefault="0070109C" w:rsidP="0070109C">
      <w:pPr>
        <w:spacing w:line="360" w:lineRule="auto"/>
        <w:jc w:val="both"/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</w:pPr>
    </w:p>
    <w:p w14:paraId="5ED61607" w14:textId="1FEC0DF9" w:rsidR="00CF39EE" w:rsidRPr="00D6198C" w:rsidRDefault="00F46ED1" w:rsidP="00C937E8">
      <w:pPr>
        <w:spacing w:line="360" w:lineRule="auto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Zamawiający zmodyfikuje </w:t>
      </w:r>
      <w:r w:rsidR="007F63FA">
        <w:rPr>
          <w:rFonts w:cs="Times New Roman"/>
          <w:sz w:val="22"/>
          <w:szCs w:val="22"/>
        </w:rPr>
        <w:t xml:space="preserve">Formularz przedmiotowo-cenowy oraz </w:t>
      </w:r>
      <w:r w:rsidRPr="00D6198C">
        <w:rPr>
          <w:rFonts w:cs="Times New Roman"/>
          <w:sz w:val="22"/>
          <w:szCs w:val="22"/>
        </w:rPr>
        <w:t xml:space="preserve">treść  </w:t>
      </w:r>
      <w:r w:rsidR="00F7361B">
        <w:rPr>
          <w:rFonts w:cs="Times New Roman"/>
          <w:sz w:val="22"/>
          <w:szCs w:val="22"/>
        </w:rPr>
        <w:t>SWZ</w:t>
      </w:r>
      <w:r w:rsidRPr="00D6198C">
        <w:rPr>
          <w:rFonts w:cs="Times New Roman"/>
          <w:sz w:val="22"/>
          <w:szCs w:val="22"/>
        </w:rPr>
        <w:t xml:space="preserve"> w/w zakresie. </w:t>
      </w:r>
    </w:p>
    <w:p w14:paraId="19F9E415" w14:textId="77777777" w:rsidR="00D43E36" w:rsidRPr="00D6198C" w:rsidRDefault="00D43E36" w:rsidP="00CF39EE">
      <w:pPr>
        <w:jc w:val="right"/>
        <w:rPr>
          <w:rFonts w:cs="Times New Roman"/>
          <w:sz w:val="22"/>
          <w:szCs w:val="22"/>
        </w:rPr>
      </w:pPr>
    </w:p>
    <w:p w14:paraId="77A1E58E" w14:textId="77777777" w:rsidR="0081673F" w:rsidRDefault="0081673F" w:rsidP="004B2474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145FC645" w14:textId="77777777" w:rsidR="00C12740" w:rsidRPr="00D6198C" w:rsidRDefault="00C12740" w:rsidP="004B2474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</w:p>
    <w:p w14:paraId="1D378E6E" w14:textId="77777777" w:rsidR="001233C4" w:rsidRPr="00D6198C" w:rsidRDefault="001233C4" w:rsidP="001233C4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MODYFIKACJA TREŚCI SWZ</w:t>
      </w:r>
    </w:p>
    <w:p w14:paraId="775FCAD4" w14:textId="55A0DF07" w:rsidR="001233C4" w:rsidRPr="00D6198C" w:rsidRDefault="001233C4" w:rsidP="007F63FA">
      <w:pPr>
        <w:spacing w:line="276" w:lineRule="auto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>Działając na podstawie art. 286 ust. 1 ustawy Prawo zamówień publicznych (Dz. U. z 2021 r. poz. 1129)</w:t>
      </w:r>
      <w:r w:rsidRPr="00D6198C">
        <w:rPr>
          <w:rFonts w:cs="Times New Roman"/>
          <w:b/>
          <w:sz w:val="22"/>
          <w:szCs w:val="22"/>
        </w:rPr>
        <w:t xml:space="preserve"> </w:t>
      </w:r>
      <w:r w:rsidR="007B5CE7" w:rsidRPr="002D1CD6">
        <w:rPr>
          <w:rFonts w:cs="Times New Roman"/>
          <w:b/>
          <w:sz w:val="22"/>
          <w:szCs w:val="22"/>
        </w:rPr>
        <w:t xml:space="preserve">Zamawiający dokonuje modyfikacji treści Formularza przedmiotowo - cenowego w </w:t>
      </w:r>
      <w:proofErr w:type="spellStart"/>
      <w:r w:rsidR="007B5CE7" w:rsidRPr="002D1CD6">
        <w:rPr>
          <w:rFonts w:cs="Times New Roman"/>
          <w:b/>
          <w:sz w:val="22"/>
          <w:szCs w:val="22"/>
        </w:rPr>
        <w:t>ww</w:t>
      </w:r>
      <w:proofErr w:type="spellEnd"/>
      <w:r w:rsidR="007B5CE7" w:rsidRPr="002D1CD6">
        <w:rPr>
          <w:rFonts w:cs="Times New Roman"/>
          <w:b/>
          <w:sz w:val="22"/>
          <w:szCs w:val="22"/>
        </w:rPr>
        <w:t xml:space="preserve"> wskazanym zakresie</w:t>
      </w:r>
      <w:r w:rsidR="007B5CE7">
        <w:rPr>
          <w:rFonts w:cs="Times New Roman"/>
          <w:b/>
          <w:sz w:val="22"/>
          <w:szCs w:val="22"/>
        </w:rPr>
        <w:t xml:space="preserve"> oraz treści SWZ</w:t>
      </w:r>
      <w:r w:rsidRPr="00D6198C">
        <w:rPr>
          <w:rFonts w:cs="Times New Roman"/>
          <w:b/>
          <w:sz w:val="22"/>
          <w:szCs w:val="22"/>
        </w:rPr>
        <w:t xml:space="preserve"> w poniższym zakresie :</w:t>
      </w:r>
    </w:p>
    <w:p w14:paraId="66D2277C" w14:textId="77777777" w:rsidR="001233C4" w:rsidRDefault="001233C4" w:rsidP="002D1CD6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551927EC" w14:textId="72C4D905" w:rsidR="001233C4" w:rsidRDefault="001233C4" w:rsidP="001233C4">
      <w:pPr>
        <w:spacing w:line="276" w:lineRule="auto"/>
        <w:jc w:val="both"/>
        <w:rPr>
          <w:b/>
          <w:sz w:val="22"/>
          <w:szCs w:val="22"/>
        </w:rPr>
      </w:pPr>
      <w:r w:rsidRPr="007B5CE7">
        <w:rPr>
          <w:rFonts w:cs="Times New Roman"/>
          <w:b/>
          <w:sz w:val="22"/>
          <w:szCs w:val="22"/>
        </w:rPr>
        <w:t xml:space="preserve">Rozdział IV </w:t>
      </w:r>
      <w:r w:rsidR="007B5CE7">
        <w:rPr>
          <w:rFonts w:cs="Times New Roman"/>
          <w:b/>
          <w:sz w:val="22"/>
          <w:szCs w:val="22"/>
        </w:rPr>
        <w:t xml:space="preserve">ust. 2 </w:t>
      </w:r>
      <w:r w:rsidRPr="007B5CE7">
        <w:rPr>
          <w:b/>
          <w:sz w:val="22"/>
          <w:szCs w:val="22"/>
        </w:rPr>
        <w:t>OPIS PRZEDMIOTU ZAMÓWIENIA</w:t>
      </w:r>
    </w:p>
    <w:p w14:paraId="26D4D3EE" w14:textId="77777777" w:rsidR="007B5CE7" w:rsidRDefault="007B5CE7" w:rsidP="007B5CE7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</w:p>
    <w:p w14:paraId="7AD0BAD5" w14:textId="77777777" w:rsidR="007B5CE7" w:rsidRDefault="007B5CE7" w:rsidP="007B5CE7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1233C4">
        <w:rPr>
          <w:rFonts w:cs="Times New Roman"/>
          <w:sz w:val="22"/>
          <w:szCs w:val="22"/>
          <w:u w:val="single"/>
        </w:rPr>
        <w:t>Było:</w:t>
      </w:r>
    </w:p>
    <w:p w14:paraId="00DD1871" w14:textId="77777777" w:rsidR="001233C4" w:rsidRPr="007B5CE7" w:rsidRDefault="001233C4" w:rsidP="007B5CE7">
      <w:pPr>
        <w:widowControl/>
        <w:tabs>
          <w:tab w:val="num" w:pos="426"/>
        </w:tabs>
        <w:suppressAutoHyphens w:val="0"/>
        <w:spacing w:before="240" w:line="276" w:lineRule="auto"/>
        <w:jc w:val="both"/>
        <w:rPr>
          <w:sz w:val="22"/>
          <w:szCs w:val="22"/>
        </w:rPr>
      </w:pPr>
      <w:r w:rsidRPr="007B5CE7">
        <w:rPr>
          <w:sz w:val="22"/>
          <w:szCs w:val="22"/>
        </w:rPr>
        <w:t xml:space="preserve">Pod pojęciem </w:t>
      </w:r>
      <w:r w:rsidRPr="007B5CE7">
        <w:rPr>
          <w:b/>
          <w:sz w:val="22"/>
          <w:szCs w:val="22"/>
          <w:u w:val="single"/>
        </w:rPr>
        <w:t>„fabrycznie nowe”</w:t>
      </w:r>
      <w:r w:rsidRPr="007B5CE7">
        <w:rPr>
          <w:sz w:val="22"/>
          <w:szCs w:val="22"/>
        </w:rPr>
        <w:t xml:space="preserve"> Zamawiający rozumie produkty nie używane, wolne od wad fizycznych i prawnych, z datą ważności </w:t>
      </w:r>
      <w:r w:rsidRPr="007B5CE7">
        <w:rPr>
          <w:b/>
          <w:bCs/>
          <w:sz w:val="22"/>
          <w:szCs w:val="22"/>
        </w:rPr>
        <w:t xml:space="preserve">min. 6 miesięcy przed datą dostawy. </w:t>
      </w:r>
      <w:r w:rsidRPr="007B5CE7">
        <w:rPr>
          <w:sz w:val="22"/>
          <w:szCs w:val="22"/>
        </w:rPr>
        <w:t>Pod pojęciem</w:t>
      </w:r>
      <w:r w:rsidRPr="007B5CE7">
        <w:rPr>
          <w:b/>
          <w:sz w:val="22"/>
          <w:szCs w:val="22"/>
        </w:rPr>
        <w:t xml:space="preserve"> „materiały oryginalne”</w:t>
      </w:r>
      <w:r w:rsidRPr="007B5CE7">
        <w:rPr>
          <w:sz w:val="22"/>
          <w:szCs w:val="22"/>
        </w:rPr>
        <w:t xml:space="preserve"> Zamawiający rozumie materiały </w:t>
      </w:r>
      <w:r w:rsidRPr="007B5CE7">
        <w:rPr>
          <w:sz w:val="22"/>
          <w:szCs w:val="22"/>
          <w:u w:val="single"/>
        </w:rPr>
        <w:t>zalecane</w:t>
      </w:r>
      <w:r w:rsidRPr="007B5CE7">
        <w:rPr>
          <w:sz w:val="22"/>
          <w:szCs w:val="22"/>
        </w:rPr>
        <w:t xml:space="preserve"> przez producentów urządzeń drukujących, najczęściej wyprodukowane przez producenta urządzenia, nie będące naśladownictwem ani przeróbką, nie regenerowane, ani </w:t>
      </w:r>
      <w:proofErr w:type="spellStart"/>
      <w:r w:rsidRPr="007B5CE7">
        <w:rPr>
          <w:sz w:val="22"/>
          <w:szCs w:val="22"/>
        </w:rPr>
        <w:t>refabrykowane</w:t>
      </w:r>
      <w:proofErr w:type="spellEnd"/>
      <w:r w:rsidRPr="007B5CE7">
        <w:rPr>
          <w:sz w:val="22"/>
          <w:szCs w:val="22"/>
        </w:rPr>
        <w:t>.</w:t>
      </w:r>
    </w:p>
    <w:p w14:paraId="3CFF69D0" w14:textId="77777777" w:rsidR="001233C4" w:rsidRDefault="001233C4" w:rsidP="001233C4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D8B2456" w14:textId="77777777" w:rsidR="001233C4" w:rsidRPr="007B5CE7" w:rsidRDefault="001233C4" w:rsidP="001233C4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7B5CE7">
        <w:rPr>
          <w:rFonts w:cs="Times New Roman"/>
          <w:sz w:val="22"/>
          <w:szCs w:val="22"/>
          <w:u w:val="single"/>
        </w:rPr>
        <w:lastRenderedPageBreak/>
        <w:t>Winno być</w:t>
      </w:r>
    </w:p>
    <w:p w14:paraId="19B02DD1" w14:textId="77777777" w:rsidR="001233C4" w:rsidRPr="005D4210" w:rsidRDefault="001233C4" w:rsidP="007B5CE7">
      <w:pPr>
        <w:pStyle w:val="Akapitzlist"/>
        <w:widowControl/>
        <w:tabs>
          <w:tab w:val="num" w:pos="426"/>
        </w:tabs>
        <w:suppressAutoHyphens w:val="0"/>
        <w:spacing w:before="240" w:line="276" w:lineRule="auto"/>
        <w:ind w:left="0"/>
        <w:contextualSpacing w:val="0"/>
        <w:jc w:val="both"/>
        <w:rPr>
          <w:sz w:val="22"/>
          <w:szCs w:val="22"/>
        </w:rPr>
      </w:pPr>
      <w:r w:rsidRPr="005D4210">
        <w:rPr>
          <w:sz w:val="22"/>
          <w:szCs w:val="22"/>
        </w:rPr>
        <w:t xml:space="preserve">Pod pojęciem </w:t>
      </w:r>
      <w:r w:rsidRPr="005D4210">
        <w:rPr>
          <w:b/>
          <w:sz w:val="22"/>
          <w:szCs w:val="22"/>
          <w:u w:val="single"/>
        </w:rPr>
        <w:t>„fabrycznie nowe”</w:t>
      </w:r>
      <w:r w:rsidRPr="005D4210">
        <w:rPr>
          <w:sz w:val="22"/>
          <w:szCs w:val="22"/>
        </w:rPr>
        <w:t xml:space="preserve"> Zamawiający rozumie produkty nie używane, wolne od wad fizycznych i prawnych</w:t>
      </w:r>
      <w:r>
        <w:rPr>
          <w:sz w:val="22"/>
          <w:szCs w:val="22"/>
        </w:rPr>
        <w:t>.</w:t>
      </w:r>
      <w:r w:rsidRPr="005D4210">
        <w:rPr>
          <w:b/>
          <w:bCs/>
          <w:sz w:val="22"/>
          <w:szCs w:val="22"/>
        </w:rPr>
        <w:t xml:space="preserve"> </w:t>
      </w:r>
      <w:r w:rsidRPr="005D4210">
        <w:rPr>
          <w:sz w:val="22"/>
          <w:szCs w:val="22"/>
        </w:rPr>
        <w:t>Pod pojęciem</w:t>
      </w:r>
      <w:r w:rsidRPr="005D4210">
        <w:rPr>
          <w:b/>
          <w:sz w:val="22"/>
          <w:szCs w:val="22"/>
        </w:rPr>
        <w:t xml:space="preserve"> „materiały oryginalne”</w:t>
      </w:r>
      <w:r w:rsidRPr="005D4210">
        <w:rPr>
          <w:sz w:val="22"/>
          <w:szCs w:val="22"/>
        </w:rPr>
        <w:t xml:space="preserve"> Zamawiający rozumie materiały </w:t>
      </w:r>
      <w:r w:rsidRPr="005D4210">
        <w:rPr>
          <w:sz w:val="22"/>
          <w:szCs w:val="22"/>
          <w:u w:val="single"/>
        </w:rPr>
        <w:t>zalecane</w:t>
      </w:r>
      <w:r w:rsidRPr="005D4210">
        <w:rPr>
          <w:sz w:val="22"/>
          <w:szCs w:val="22"/>
        </w:rPr>
        <w:t xml:space="preserve"> przez producentów urządzeń drukujących, najczęściej wyprodukowane przez producenta urządzenia, nie będące naśladownictwem ani przeróbką, nie regenerowane, ani </w:t>
      </w:r>
      <w:proofErr w:type="spellStart"/>
      <w:r w:rsidRPr="005D4210">
        <w:rPr>
          <w:sz w:val="22"/>
          <w:szCs w:val="22"/>
        </w:rPr>
        <w:t>refabrykowane</w:t>
      </w:r>
      <w:proofErr w:type="spellEnd"/>
      <w:r w:rsidRPr="005D4210">
        <w:rPr>
          <w:sz w:val="22"/>
          <w:szCs w:val="22"/>
        </w:rPr>
        <w:t>.</w:t>
      </w:r>
    </w:p>
    <w:p w14:paraId="16DA7076" w14:textId="77777777" w:rsidR="001233C4" w:rsidRPr="002D1CD6" w:rsidRDefault="001233C4" w:rsidP="001233C4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B1FCAFB" w14:textId="564C1A4E" w:rsidR="002D1CD6" w:rsidRDefault="002D1CD6" w:rsidP="002D1CD6">
      <w:pPr>
        <w:spacing w:line="276" w:lineRule="auto"/>
        <w:jc w:val="both"/>
        <w:rPr>
          <w:rFonts w:cs="Times New Roman"/>
          <w:sz w:val="22"/>
          <w:szCs w:val="22"/>
        </w:rPr>
      </w:pPr>
      <w:r w:rsidRPr="002D1CD6">
        <w:rPr>
          <w:rFonts w:cs="Times New Roman"/>
          <w:sz w:val="22"/>
          <w:szCs w:val="22"/>
        </w:rPr>
        <w:t xml:space="preserve">Zmodyfikowana treść formularza przedmiotowo - cenowego </w:t>
      </w:r>
      <w:r>
        <w:rPr>
          <w:rFonts w:cs="Times New Roman"/>
          <w:sz w:val="22"/>
          <w:szCs w:val="22"/>
        </w:rPr>
        <w:t xml:space="preserve">oraz SWZ </w:t>
      </w:r>
      <w:r w:rsidRPr="002D1CD6">
        <w:rPr>
          <w:rFonts w:cs="Times New Roman"/>
          <w:sz w:val="22"/>
          <w:szCs w:val="22"/>
        </w:rPr>
        <w:t>stanowi załącznik do niniejszego pisma.</w:t>
      </w:r>
    </w:p>
    <w:p w14:paraId="47F4FF78" w14:textId="77777777" w:rsidR="001233C4" w:rsidRDefault="001233C4" w:rsidP="002D1CD6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F0EF38E" w14:textId="77777777" w:rsidR="00D6198C" w:rsidRPr="00D6198C" w:rsidRDefault="00D6198C" w:rsidP="00CF39EE">
      <w:pPr>
        <w:jc w:val="right"/>
        <w:rPr>
          <w:rFonts w:cs="Times New Roman"/>
          <w:sz w:val="22"/>
          <w:szCs w:val="22"/>
        </w:rPr>
      </w:pPr>
    </w:p>
    <w:p w14:paraId="561805B9" w14:textId="11B7492B" w:rsidR="00CF39EE" w:rsidRPr="00D6198C" w:rsidRDefault="00CF39EE" w:rsidP="00CF39EE">
      <w:pPr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Kanclerz UKW</w:t>
      </w:r>
    </w:p>
    <w:p w14:paraId="3DFF2330" w14:textId="77777777" w:rsidR="00502762" w:rsidRPr="00D6198C" w:rsidRDefault="00502762" w:rsidP="00CF39EE">
      <w:pPr>
        <w:jc w:val="right"/>
        <w:rPr>
          <w:rFonts w:cs="Times New Roman"/>
          <w:sz w:val="22"/>
          <w:szCs w:val="22"/>
        </w:rPr>
      </w:pPr>
    </w:p>
    <w:p w14:paraId="72A07BB8" w14:textId="586759AA" w:rsidR="00CF39EE" w:rsidRPr="00D6198C" w:rsidRDefault="00CF39EE" w:rsidP="00CF39EE">
      <w:pPr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mgr Renata Malak</w:t>
      </w:r>
    </w:p>
    <w:sectPr w:rsidR="00CF39EE" w:rsidRPr="00D6198C" w:rsidSect="00515BBF">
      <w:footerReference w:type="default" r:id="rId8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C0ACB" w14:textId="77777777" w:rsidR="00DD5D5C" w:rsidRDefault="00DD5D5C" w:rsidP="00D6198C">
      <w:r>
        <w:separator/>
      </w:r>
    </w:p>
  </w:endnote>
  <w:endnote w:type="continuationSeparator" w:id="0">
    <w:p w14:paraId="543E3A27" w14:textId="77777777" w:rsidR="00DD5D5C" w:rsidRDefault="00DD5D5C" w:rsidP="00D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20"/>
        <w:szCs w:val="20"/>
      </w:rPr>
      <w:id w:val="1802949668"/>
      <w:docPartObj>
        <w:docPartGallery w:val="Page Numbers (Bottom of Page)"/>
        <w:docPartUnique/>
      </w:docPartObj>
    </w:sdtPr>
    <w:sdtEndPr/>
    <w:sdtContent>
      <w:p w14:paraId="3EC86107" w14:textId="18E41C49" w:rsidR="00D6198C" w:rsidRPr="00F7361B" w:rsidRDefault="00D6198C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F7361B">
          <w:rPr>
            <w:rFonts w:eastAsiaTheme="majorEastAsia" w:cs="Times New Roman"/>
            <w:sz w:val="20"/>
            <w:szCs w:val="20"/>
          </w:rPr>
          <w:t xml:space="preserve">str. </w:t>
        </w:r>
        <w:r w:rsidRPr="00F7361B">
          <w:rPr>
            <w:rFonts w:eastAsiaTheme="minorEastAsia" w:cs="Times New Roman"/>
            <w:sz w:val="20"/>
            <w:szCs w:val="20"/>
          </w:rPr>
          <w:fldChar w:fldCharType="begin"/>
        </w:r>
        <w:r w:rsidRPr="00F7361B">
          <w:rPr>
            <w:rFonts w:cs="Times New Roman"/>
            <w:sz w:val="20"/>
            <w:szCs w:val="20"/>
          </w:rPr>
          <w:instrText>PAGE    \* MERGEFORMAT</w:instrText>
        </w:r>
        <w:r w:rsidRPr="00F7361B">
          <w:rPr>
            <w:rFonts w:eastAsiaTheme="minorEastAsia" w:cs="Times New Roman"/>
            <w:sz w:val="20"/>
            <w:szCs w:val="20"/>
          </w:rPr>
          <w:fldChar w:fldCharType="separate"/>
        </w:r>
        <w:r w:rsidR="00C12740" w:rsidRPr="00C12740">
          <w:rPr>
            <w:rFonts w:eastAsiaTheme="majorEastAsia" w:cs="Times New Roman"/>
            <w:noProof/>
            <w:sz w:val="20"/>
            <w:szCs w:val="20"/>
          </w:rPr>
          <w:t>4</w:t>
        </w:r>
        <w:r w:rsidRPr="00F7361B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  <w:p w14:paraId="14035EFE" w14:textId="77777777" w:rsidR="00D6198C" w:rsidRDefault="00D6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D6EA0" w14:textId="77777777" w:rsidR="00DD5D5C" w:rsidRDefault="00DD5D5C" w:rsidP="00D6198C">
      <w:r>
        <w:separator/>
      </w:r>
    </w:p>
  </w:footnote>
  <w:footnote w:type="continuationSeparator" w:id="0">
    <w:p w14:paraId="4CC003F5" w14:textId="77777777" w:rsidR="00DD5D5C" w:rsidRDefault="00DD5D5C" w:rsidP="00D6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8F6CB654"/>
    <w:lvl w:ilvl="0" w:tplc="5FA80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4644107A"/>
    <w:lvl w:ilvl="0" w:tplc="798A08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5539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C6A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A3F25"/>
    <w:multiLevelType w:val="hybridMultilevel"/>
    <w:tmpl w:val="D2B61750"/>
    <w:lvl w:ilvl="0" w:tplc="ADEE3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4"/>
  </w:num>
  <w:num w:numId="5">
    <w:abstractNumId w:val="11"/>
  </w:num>
  <w:num w:numId="6">
    <w:abstractNumId w:val="30"/>
  </w:num>
  <w:num w:numId="7">
    <w:abstractNumId w:val="6"/>
  </w:num>
  <w:num w:numId="8">
    <w:abstractNumId w:val="15"/>
  </w:num>
  <w:num w:numId="9">
    <w:abstractNumId w:val="26"/>
  </w:num>
  <w:num w:numId="10">
    <w:abstractNumId w:val="27"/>
  </w:num>
  <w:num w:numId="11">
    <w:abstractNumId w:val="7"/>
  </w:num>
  <w:num w:numId="12">
    <w:abstractNumId w:val="32"/>
  </w:num>
  <w:num w:numId="13">
    <w:abstractNumId w:val="29"/>
  </w:num>
  <w:num w:numId="14">
    <w:abstractNumId w:val="5"/>
  </w:num>
  <w:num w:numId="15">
    <w:abstractNumId w:val="21"/>
  </w:num>
  <w:num w:numId="16">
    <w:abstractNumId w:val="12"/>
  </w:num>
  <w:num w:numId="17">
    <w:abstractNumId w:val="1"/>
  </w:num>
  <w:num w:numId="18">
    <w:abstractNumId w:val="9"/>
  </w:num>
  <w:num w:numId="19">
    <w:abstractNumId w:val="20"/>
  </w:num>
  <w:num w:numId="20">
    <w:abstractNumId w:val="1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28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4"/>
  </w:num>
  <w:num w:numId="34">
    <w:abstractNumId w:val="10"/>
  </w:num>
  <w:num w:numId="35">
    <w:abstractNumId w:val="31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DC5"/>
    <w:rsid w:val="000B0F15"/>
    <w:rsid w:val="000C6B47"/>
    <w:rsid w:val="000F107A"/>
    <w:rsid w:val="001010EA"/>
    <w:rsid w:val="00102239"/>
    <w:rsid w:val="001233C4"/>
    <w:rsid w:val="00126482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4342B"/>
    <w:rsid w:val="002672B8"/>
    <w:rsid w:val="00272E23"/>
    <w:rsid w:val="002A0EA0"/>
    <w:rsid w:val="002B7D82"/>
    <w:rsid w:val="002C11EB"/>
    <w:rsid w:val="002D1CD6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3B0066"/>
    <w:rsid w:val="00406582"/>
    <w:rsid w:val="004277D7"/>
    <w:rsid w:val="00431DB8"/>
    <w:rsid w:val="00432DFD"/>
    <w:rsid w:val="00440E52"/>
    <w:rsid w:val="0046126D"/>
    <w:rsid w:val="0046158D"/>
    <w:rsid w:val="004674A9"/>
    <w:rsid w:val="004908CE"/>
    <w:rsid w:val="00490EA8"/>
    <w:rsid w:val="00496D69"/>
    <w:rsid w:val="004B0EFE"/>
    <w:rsid w:val="004B2474"/>
    <w:rsid w:val="004D337B"/>
    <w:rsid w:val="00502762"/>
    <w:rsid w:val="005113BC"/>
    <w:rsid w:val="00515BBF"/>
    <w:rsid w:val="0052178C"/>
    <w:rsid w:val="005272D5"/>
    <w:rsid w:val="00572C92"/>
    <w:rsid w:val="00572F59"/>
    <w:rsid w:val="00587390"/>
    <w:rsid w:val="005B45A6"/>
    <w:rsid w:val="005C4A6A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C014C"/>
    <w:rsid w:val="006D03A0"/>
    <w:rsid w:val="006E59CD"/>
    <w:rsid w:val="006E7A1C"/>
    <w:rsid w:val="006F6CF3"/>
    <w:rsid w:val="006F7EF5"/>
    <w:rsid w:val="0070109C"/>
    <w:rsid w:val="007103E1"/>
    <w:rsid w:val="00712435"/>
    <w:rsid w:val="00714653"/>
    <w:rsid w:val="00722258"/>
    <w:rsid w:val="00723592"/>
    <w:rsid w:val="0074564E"/>
    <w:rsid w:val="00765FCC"/>
    <w:rsid w:val="00782FA7"/>
    <w:rsid w:val="0079075E"/>
    <w:rsid w:val="00791374"/>
    <w:rsid w:val="007B5CE7"/>
    <w:rsid w:val="007D0536"/>
    <w:rsid w:val="007E579D"/>
    <w:rsid w:val="007E5DB3"/>
    <w:rsid w:val="007F3F84"/>
    <w:rsid w:val="007F63FA"/>
    <w:rsid w:val="00804737"/>
    <w:rsid w:val="0081673F"/>
    <w:rsid w:val="00817CDC"/>
    <w:rsid w:val="00833AEF"/>
    <w:rsid w:val="008469D2"/>
    <w:rsid w:val="00856722"/>
    <w:rsid w:val="00864443"/>
    <w:rsid w:val="00883E14"/>
    <w:rsid w:val="008D2ABE"/>
    <w:rsid w:val="008D5C17"/>
    <w:rsid w:val="008F13B4"/>
    <w:rsid w:val="008F5742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9F6F48"/>
    <w:rsid w:val="00A26C6C"/>
    <w:rsid w:val="00A26EFE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2740"/>
    <w:rsid w:val="00C17C66"/>
    <w:rsid w:val="00C27C17"/>
    <w:rsid w:val="00C578AB"/>
    <w:rsid w:val="00C937E8"/>
    <w:rsid w:val="00CE08C6"/>
    <w:rsid w:val="00CE6AFC"/>
    <w:rsid w:val="00CF39EE"/>
    <w:rsid w:val="00D05A52"/>
    <w:rsid w:val="00D43E36"/>
    <w:rsid w:val="00D45CBF"/>
    <w:rsid w:val="00D52AB2"/>
    <w:rsid w:val="00D6198C"/>
    <w:rsid w:val="00D76BBC"/>
    <w:rsid w:val="00DA2B54"/>
    <w:rsid w:val="00DA401D"/>
    <w:rsid w:val="00DB5DA1"/>
    <w:rsid w:val="00DD5D5C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EE68B8"/>
    <w:rsid w:val="00F0047E"/>
    <w:rsid w:val="00F04CBF"/>
    <w:rsid w:val="00F116A0"/>
    <w:rsid w:val="00F40081"/>
    <w:rsid w:val="00F45C26"/>
    <w:rsid w:val="00F46ED1"/>
    <w:rsid w:val="00F5676E"/>
    <w:rsid w:val="00F7361B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09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Teksttreci4">
    <w:name w:val="Tekst treści (4)_"/>
    <w:link w:val="Teksttreci40"/>
    <w:locked/>
    <w:rsid w:val="00D6198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6198C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cp:lastPrinted>2022-02-28T12:13:00Z</cp:lastPrinted>
  <dcterms:created xsi:type="dcterms:W3CDTF">2022-03-07T09:14:00Z</dcterms:created>
  <dcterms:modified xsi:type="dcterms:W3CDTF">2022-03-07T11:36:00Z</dcterms:modified>
</cp:coreProperties>
</file>