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F0" w:rsidRDefault="002936B8" w:rsidP="002936B8">
      <w:pPr>
        <w:jc w:val="center"/>
      </w:pPr>
      <w:r>
        <w:t>OPIS PRZEDMIOTU ZAMÓWIENIA</w:t>
      </w:r>
    </w:p>
    <w:p w:rsidR="002936B8" w:rsidRDefault="002936B8" w:rsidP="002936B8">
      <w:pPr>
        <w:jc w:val="center"/>
      </w:pPr>
    </w:p>
    <w:p w:rsidR="002936B8" w:rsidRDefault="002936B8" w:rsidP="002936B8">
      <w:pPr>
        <w:jc w:val="center"/>
      </w:pPr>
    </w:p>
    <w:p w:rsidR="002936B8" w:rsidRPr="00517A3B" w:rsidRDefault="002936B8" w:rsidP="002936B8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  <w:lang w:val="en-GB"/>
        </w:rPr>
      </w:pPr>
      <w:r w:rsidRPr="00517A3B">
        <w:rPr>
          <w:b/>
          <w:lang w:val="en-GB"/>
        </w:rPr>
        <w:t xml:space="preserve">Thermo Scientific </w:t>
      </w:r>
      <w:proofErr w:type="spellStart"/>
      <w:r w:rsidRPr="00517A3B">
        <w:rPr>
          <w:b/>
          <w:lang w:val="en-GB"/>
        </w:rPr>
        <w:t>RevertAid</w:t>
      </w:r>
      <w:proofErr w:type="spellEnd"/>
      <w:r w:rsidRPr="00517A3B">
        <w:rPr>
          <w:b/>
          <w:lang w:val="en-GB"/>
        </w:rPr>
        <w:t xml:space="preserve"> RT Kit, 500 </w:t>
      </w:r>
      <w:proofErr w:type="spellStart"/>
      <w:r w:rsidRPr="00517A3B">
        <w:rPr>
          <w:b/>
          <w:lang w:val="en-GB"/>
        </w:rPr>
        <w:t>reakcji</w:t>
      </w:r>
      <w:proofErr w:type="spellEnd"/>
      <w:r w:rsidRPr="00517A3B">
        <w:rPr>
          <w:b/>
          <w:lang w:val="en-GB"/>
        </w:rPr>
        <w:t>,</w:t>
      </w:r>
    </w:p>
    <w:p w:rsidR="002936B8" w:rsidRPr="00517A3B" w:rsidRDefault="002936B8" w:rsidP="002936B8">
      <w:pPr>
        <w:ind w:left="720"/>
        <w:jc w:val="both"/>
        <w:rPr>
          <w:bCs/>
        </w:rPr>
      </w:pPr>
      <w:r w:rsidRPr="00517A3B">
        <w:rPr>
          <w:b/>
          <w:bCs/>
        </w:rPr>
        <w:t xml:space="preserve">ilość </w:t>
      </w:r>
      <w:r>
        <w:rPr>
          <w:b/>
          <w:bCs/>
        </w:rPr>
        <w:t>1</w:t>
      </w:r>
      <w:r w:rsidRPr="00517A3B">
        <w:rPr>
          <w:b/>
          <w:bCs/>
        </w:rPr>
        <w:t xml:space="preserve"> opakowani</w:t>
      </w:r>
      <w:r>
        <w:rPr>
          <w:b/>
          <w:bCs/>
        </w:rPr>
        <w:t>e</w:t>
      </w:r>
      <w:r w:rsidRPr="00517A3B">
        <w:rPr>
          <w:bCs/>
        </w:rPr>
        <w:t xml:space="preserve">, </w:t>
      </w:r>
    </w:p>
    <w:p w:rsidR="002936B8" w:rsidRDefault="002936B8" w:rsidP="002936B8">
      <w:pPr>
        <w:ind w:left="720"/>
        <w:jc w:val="both"/>
        <w:rPr>
          <w:bCs/>
        </w:rPr>
      </w:pPr>
      <w:r w:rsidRPr="003E6053">
        <w:rPr>
          <w:bCs/>
        </w:rPr>
        <w:t>charakterystyka:</w:t>
      </w:r>
    </w:p>
    <w:p w:rsidR="002936B8" w:rsidRDefault="002936B8" w:rsidP="002936B8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kompletny zestaw do syntezy pierwszej nici </w:t>
      </w:r>
      <w:proofErr w:type="spellStart"/>
      <w:r>
        <w:rPr>
          <w:bCs/>
        </w:rPr>
        <w:t>cDNA</w:t>
      </w:r>
      <w:proofErr w:type="spellEnd"/>
      <w:r>
        <w:rPr>
          <w:bCs/>
        </w:rPr>
        <w:t xml:space="preserve"> na matrycy </w:t>
      </w:r>
      <w:proofErr w:type="spellStart"/>
      <w:r>
        <w:rPr>
          <w:bCs/>
        </w:rPr>
        <w:t>mRNA</w:t>
      </w:r>
      <w:proofErr w:type="spellEnd"/>
      <w:r>
        <w:rPr>
          <w:bCs/>
        </w:rPr>
        <w:t xml:space="preserve"> lub całkowitego RNA (odwrotna </w:t>
      </w:r>
      <w:proofErr w:type="spellStart"/>
      <w:r>
        <w:rPr>
          <w:bCs/>
        </w:rPr>
        <w:t>transkryptaza</w:t>
      </w:r>
      <w:proofErr w:type="spellEnd"/>
      <w:r>
        <w:rPr>
          <w:bCs/>
        </w:rPr>
        <w:t xml:space="preserve">, inhibitor </w:t>
      </w:r>
      <w:proofErr w:type="spellStart"/>
      <w:r>
        <w:rPr>
          <w:bCs/>
        </w:rPr>
        <w:t>RNazy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RiboLock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dNTP</w:t>
      </w:r>
      <w:proofErr w:type="spellEnd"/>
      <w:r>
        <w:rPr>
          <w:bCs/>
        </w:rPr>
        <w:t xml:space="preserve">, 5x stężony bufor reakcyjny, Random </w:t>
      </w:r>
      <w:proofErr w:type="spellStart"/>
      <w:r>
        <w:rPr>
          <w:bCs/>
        </w:rPr>
        <w:t>Hexamer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Primer</w:t>
      </w:r>
      <w:proofErr w:type="spellEnd"/>
      <w:r>
        <w:rPr>
          <w:bCs/>
        </w:rPr>
        <w:t xml:space="preserve">, woda wolna od nukleaz) do </w:t>
      </w:r>
      <w:proofErr w:type="spellStart"/>
      <w:r>
        <w:rPr>
          <w:bCs/>
        </w:rPr>
        <w:t>teakcji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RT-PCR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RT-qPCR</w:t>
      </w:r>
      <w:proofErr w:type="spellEnd"/>
      <w:r>
        <w:rPr>
          <w:bCs/>
        </w:rPr>
        <w:t>;</w:t>
      </w:r>
    </w:p>
    <w:p w:rsidR="002936B8" w:rsidRDefault="002936B8" w:rsidP="002936B8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odwrotna </w:t>
      </w:r>
      <w:proofErr w:type="spellStart"/>
      <w:r>
        <w:rPr>
          <w:bCs/>
        </w:rPr>
        <w:t>transkryptaza</w:t>
      </w:r>
      <w:proofErr w:type="spellEnd"/>
      <w:r>
        <w:rPr>
          <w:bCs/>
        </w:rPr>
        <w:t xml:space="preserve"> zawarta w zestawie posiada niższą aktywność </w:t>
      </w:r>
      <w:proofErr w:type="spellStart"/>
      <w:r>
        <w:rPr>
          <w:bCs/>
        </w:rPr>
        <w:t>RNazy</w:t>
      </w:r>
      <w:proofErr w:type="spellEnd"/>
      <w:r>
        <w:rPr>
          <w:bCs/>
        </w:rPr>
        <w:t xml:space="preserve"> H niż odwrotna </w:t>
      </w:r>
      <w:proofErr w:type="spellStart"/>
      <w:r>
        <w:rPr>
          <w:bCs/>
        </w:rPr>
        <w:t>transkryptaza</w:t>
      </w:r>
      <w:proofErr w:type="spellEnd"/>
      <w:r>
        <w:rPr>
          <w:bCs/>
        </w:rPr>
        <w:t xml:space="preserve"> AMV,</w:t>
      </w:r>
    </w:p>
    <w:p w:rsidR="002936B8" w:rsidRDefault="002936B8" w:rsidP="002936B8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zawarta w zestawie odwrotna </w:t>
      </w:r>
      <w:proofErr w:type="spellStart"/>
      <w:r>
        <w:rPr>
          <w:bCs/>
        </w:rPr>
        <w:t>transkryptaza</w:t>
      </w:r>
      <w:proofErr w:type="spellEnd"/>
      <w:r>
        <w:rPr>
          <w:bCs/>
        </w:rPr>
        <w:t xml:space="preserve"> zachowuje aktywność w zakresie temperatur 42 – 50 </w:t>
      </w:r>
      <w:r>
        <w:rPr>
          <w:bCs/>
        </w:rPr>
        <w:sym w:font="Symbol" w:char="F0B0"/>
      </w:r>
      <w:r>
        <w:rPr>
          <w:bCs/>
        </w:rPr>
        <w:t xml:space="preserve">C i jest odpowiednia do syntezy cząsteczek </w:t>
      </w:r>
      <w:proofErr w:type="spellStart"/>
      <w:r>
        <w:rPr>
          <w:bCs/>
        </w:rPr>
        <w:t>cDNA</w:t>
      </w:r>
      <w:proofErr w:type="spellEnd"/>
      <w:r>
        <w:rPr>
          <w:bCs/>
        </w:rPr>
        <w:t xml:space="preserve"> o wielkości do 13 </w:t>
      </w:r>
      <w:proofErr w:type="spellStart"/>
      <w:r>
        <w:rPr>
          <w:bCs/>
        </w:rPr>
        <w:t>kb</w:t>
      </w:r>
      <w:proofErr w:type="spellEnd"/>
      <w:r>
        <w:rPr>
          <w:bCs/>
        </w:rPr>
        <w:t>,</w:t>
      </w:r>
    </w:p>
    <w:p w:rsidR="002936B8" w:rsidRPr="00D60330" w:rsidRDefault="002936B8" w:rsidP="002936B8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D60330">
        <w:rPr>
          <w:bCs/>
        </w:rPr>
        <w:t xml:space="preserve">zestaw zawiera rekombinowany inhibitor </w:t>
      </w:r>
      <w:proofErr w:type="spellStart"/>
      <w:r w:rsidRPr="00D60330">
        <w:rPr>
          <w:bCs/>
        </w:rPr>
        <w:t>RNaz</w:t>
      </w:r>
      <w:proofErr w:type="spellEnd"/>
      <w:r w:rsidRPr="00D60330">
        <w:rPr>
          <w:bCs/>
        </w:rPr>
        <w:t xml:space="preserve"> (</w:t>
      </w:r>
      <w:proofErr w:type="spellStart"/>
      <w:r w:rsidRPr="00D60330">
        <w:rPr>
          <w:bCs/>
        </w:rPr>
        <w:t>Thermo</w:t>
      </w:r>
      <w:proofErr w:type="spellEnd"/>
      <w:r w:rsidRPr="00D60330">
        <w:rPr>
          <w:bCs/>
        </w:rPr>
        <w:t xml:space="preserve"> Scientific </w:t>
      </w:r>
      <w:proofErr w:type="spellStart"/>
      <w:r w:rsidRPr="00D60330">
        <w:rPr>
          <w:bCs/>
        </w:rPr>
        <w:t>RiboLock</w:t>
      </w:r>
      <w:proofErr w:type="spellEnd"/>
      <w:r w:rsidRPr="00D60330">
        <w:rPr>
          <w:bCs/>
        </w:rPr>
        <w:t xml:space="preserve"> </w:t>
      </w:r>
      <w:proofErr w:type="spellStart"/>
      <w:r w:rsidRPr="00D60330">
        <w:rPr>
          <w:bCs/>
        </w:rPr>
        <w:t>RNase</w:t>
      </w:r>
      <w:proofErr w:type="spellEnd"/>
      <w:r w:rsidRPr="00D60330">
        <w:rPr>
          <w:bCs/>
        </w:rPr>
        <w:t xml:space="preserve"> Inhibitor), </w:t>
      </w:r>
      <w:r>
        <w:rPr>
          <w:bCs/>
        </w:rPr>
        <w:t>skutecznie chroniący RNA przed degradacją w temperaturze</w:t>
      </w:r>
      <w:r w:rsidRPr="00D60330">
        <w:rPr>
          <w:bCs/>
        </w:rPr>
        <w:t xml:space="preserve"> do 55</w:t>
      </w:r>
      <w:r>
        <w:rPr>
          <w:bCs/>
        </w:rPr>
        <w:sym w:font="Symbol" w:char="F0B0"/>
      </w:r>
      <w:r>
        <w:rPr>
          <w:bCs/>
        </w:rPr>
        <w:t>C,</w:t>
      </w:r>
    </w:p>
    <w:p w:rsidR="002936B8" w:rsidRDefault="002936B8" w:rsidP="002936B8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cDNA</w:t>
      </w:r>
      <w:proofErr w:type="spellEnd"/>
      <w:r>
        <w:rPr>
          <w:bCs/>
        </w:rPr>
        <w:t xml:space="preserve"> otrzymany w wyniku reakcji może być używany jako matryca w reakcjach PCR oraz </w:t>
      </w:r>
      <w:proofErr w:type="spellStart"/>
      <w:r>
        <w:rPr>
          <w:bCs/>
        </w:rPr>
        <w:t>real-time</w:t>
      </w:r>
      <w:proofErr w:type="spellEnd"/>
      <w:r>
        <w:rPr>
          <w:bCs/>
        </w:rPr>
        <w:t xml:space="preserve"> PCR, jako matryca do syntezy drugiej nici </w:t>
      </w:r>
      <w:proofErr w:type="spellStart"/>
      <w:r>
        <w:rPr>
          <w:bCs/>
        </w:rPr>
        <w:t>cDNA</w:t>
      </w:r>
      <w:proofErr w:type="spellEnd"/>
      <w:r>
        <w:rPr>
          <w:bCs/>
        </w:rPr>
        <w:t xml:space="preserve">, do konstrukcji bibliotek </w:t>
      </w:r>
      <w:proofErr w:type="spellStart"/>
      <w:r>
        <w:rPr>
          <w:bCs/>
        </w:rPr>
        <w:t>cDNA</w:t>
      </w:r>
      <w:proofErr w:type="spellEnd"/>
      <w:r>
        <w:rPr>
          <w:bCs/>
        </w:rPr>
        <w:t xml:space="preserve">, syntezy </w:t>
      </w:r>
      <w:proofErr w:type="spellStart"/>
      <w:r>
        <w:rPr>
          <w:bCs/>
        </w:rPr>
        <w:t>antysensowego</w:t>
      </w:r>
      <w:proofErr w:type="spellEnd"/>
      <w:r>
        <w:rPr>
          <w:bCs/>
        </w:rPr>
        <w:t xml:space="preserve"> RNA,</w:t>
      </w:r>
    </w:p>
    <w:p w:rsidR="002936B8" w:rsidRDefault="002936B8" w:rsidP="002936B8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nukleotydy znakowane radioaktywnie lub </w:t>
      </w:r>
      <w:proofErr w:type="spellStart"/>
      <w:r>
        <w:rPr>
          <w:bCs/>
        </w:rPr>
        <w:t>nieradioaktywnie</w:t>
      </w:r>
      <w:proofErr w:type="spellEnd"/>
      <w:r>
        <w:rPr>
          <w:bCs/>
        </w:rPr>
        <w:t xml:space="preserve"> mogą być włączane do pierwszej nici </w:t>
      </w:r>
      <w:proofErr w:type="spellStart"/>
      <w:r>
        <w:rPr>
          <w:bCs/>
        </w:rPr>
        <w:t>cDNA</w:t>
      </w:r>
      <w:proofErr w:type="spellEnd"/>
      <w:r>
        <w:rPr>
          <w:bCs/>
        </w:rPr>
        <w:t xml:space="preserve"> w celu wykorzystania w eksperymentach </w:t>
      </w:r>
      <w:proofErr w:type="spellStart"/>
      <w:r>
        <w:rPr>
          <w:bCs/>
        </w:rPr>
        <w:t>hybrydyzacyjnych</w:t>
      </w:r>
      <w:proofErr w:type="spellEnd"/>
      <w:r>
        <w:rPr>
          <w:bCs/>
        </w:rPr>
        <w:t xml:space="preserve"> (m.in. w </w:t>
      </w:r>
      <w:proofErr w:type="spellStart"/>
      <w:r>
        <w:rPr>
          <w:bCs/>
        </w:rPr>
        <w:t>mikromacierzach</w:t>
      </w:r>
      <w:proofErr w:type="spellEnd"/>
      <w:r>
        <w:rPr>
          <w:bCs/>
        </w:rPr>
        <w:t>).</w:t>
      </w:r>
    </w:p>
    <w:p w:rsidR="002936B8" w:rsidRPr="00CE66F9" w:rsidRDefault="002936B8" w:rsidP="002936B8">
      <w:pPr>
        <w:rPr>
          <w:rFonts w:ascii="Arial Narrow" w:hAnsi="Arial Narrow"/>
          <w:bCs/>
          <w:sz w:val="20"/>
          <w:szCs w:val="20"/>
        </w:rPr>
      </w:pPr>
    </w:p>
    <w:p w:rsidR="002936B8" w:rsidRPr="00517A3B" w:rsidRDefault="002936B8" w:rsidP="002936B8">
      <w:pPr>
        <w:numPr>
          <w:ilvl w:val="0"/>
          <w:numId w:val="1"/>
        </w:numPr>
        <w:spacing w:after="0"/>
        <w:rPr>
          <w:b/>
        </w:rPr>
      </w:pPr>
      <w:proofErr w:type="spellStart"/>
      <w:r w:rsidRPr="00517A3B">
        <w:rPr>
          <w:b/>
        </w:rPr>
        <w:t>Thermo</w:t>
      </w:r>
      <w:proofErr w:type="spellEnd"/>
      <w:r w:rsidRPr="00517A3B">
        <w:rPr>
          <w:b/>
        </w:rPr>
        <w:t xml:space="preserve"> Scientific PCR master mix (2x), 600 reakcji,</w:t>
      </w:r>
      <w:r w:rsidRPr="00517A3B">
        <w:rPr>
          <w:b/>
        </w:rPr>
        <w:br/>
        <w:t>ilość: 3 opakowania x 200 reakcji</w:t>
      </w:r>
      <w:r>
        <w:rPr>
          <w:b/>
        </w:rPr>
        <w:t>,</w:t>
      </w:r>
    </w:p>
    <w:p w:rsidR="002936B8" w:rsidRDefault="002936B8" w:rsidP="002936B8">
      <w:pPr>
        <w:ind w:left="720"/>
        <w:jc w:val="both"/>
        <w:rPr>
          <w:bCs/>
        </w:rPr>
      </w:pPr>
      <w:r w:rsidRPr="00096838">
        <w:rPr>
          <w:bCs/>
        </w:rPr>
        <w:t>charakterystyka:</w:t>
      </w:r>
    </w:p>
    <w:p w:rsidR="002936B8" w:rsidRPr="00A64C3E" w:rsidRDefault="002936B8" w:rsidP="002936B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A64C3E">
        <w:rPr>
          <w:bCs/>
        </w:rPr>
        <w:t xml:space="preserve">2x stężony roztwór zwierający: polimerazę DNA </w:t>
      </w:r>
      <w:proofErr w:type="spellStart"/>
      <w:r w:rsidRPr="00A64C3E">
        <w:rPr>
          <w:bCs/>
          <w:i/>
        </w:rPr>
        <w:t>Taq</w:t>
      </w:r>
      <w:proofErr w:type="spellEnd"/>
      <w:r w:rsidRPr="00A64C3E">
        <w:rPr>
          <w:bCs/>
          <w:i/>
        </w:rPr>
        <w:t xml:space="preserve"> </w:t>
      </w:r>
      <w:r w:rsidRPr="00A64C3E">
        <w:rPr>
          <w:bCs/>
        </w:rPr>
        <w:t>(0,05 U/</w:t>
      </w:r>
      <w:r>
        <w:rPr>
          <w:bCs/>
        </w:rPr>
        <w:sym w:font="Symbol" w:char="F06D"/>
      </w:r>
      <w:r w:rsidRPr="00A64C3E">
        <w:rPr>
          <w:bCs/>
        </w:rPr>
        <w:t xml:space="preserve">l), </w:t>
      </w:r>
      <w:proofErr w:type="spellStart"/>
      <w:r w:rsidRPr="00A64C3E">
        <w:rPr>
          <w:bCs/>
        </w:rPr>
        <w:t>dNTP</w:t>
      </w:r>
      <w:proofErr w:type="spellEnd"/>
      <w:r>
        <w:rPr>
          <w:bCs/>
        </w:rPr>
        <w:t xml:space="preserve">, 4 </w:t>
      </w:r>
      <w:proofErr w:type="spellStart"/>
      <w:r>
        <w:rPr>
          <w:bCs/>
        </w:rPr>
        <w:t>mM</w:t>
      </w:r>
      <w:proofErr w:type="spellEnd"/>
      <w:r>
        <w:rPr>
          <w:bCs/>
        </w:rPr>
        <w:t xml:space="preserve"> MgCl</w:t>
      </w:r>
      <w:r w:rsidRPr="00A64C3E">
        <w:rPr>
          <w:bCs/>
          <w:vertAlign w:val="subscript"/>
        </w:rPr>
        <w:t>2</w:t>
      </w:r>
      <w:r>
        <w:rPr>
          <w:bCs/>
          <w:vertAlign w:val="subscript"/>
        </w:rPr>
        <w:t xml:space="preserve">, </w:t>
      </w:r>
      <w:r>
        <w:rPr>
          <w:bCs/>
        </w:rPr>
        <w:t>bufor reakcyjny</w:t>
      </w:r>
      <w:r w:rsidRPr="00A64C3E">
        <w:rPr>
          <w:bCs/>
        </w:rPr>
        <w:t>; mix gotowy do użycia,</w:t>
      </w:r>
    </w:p>
    <w:p w:rsidR="002936B8" w:rsidRDefault="002936B8" w:rsidP="002936B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mix jest </w:t>
      </w:r>
      <w:proofErr w:type="spellStart"/>
      <w:r>
        <w:rPr>
          <w:bCs/>
        </w:rPr>
        <w:t>termostabilny</w:t>
      </w:r>
      <w:proofErr w:type="spellEnd"/>
      <w:r>
        <w:rPr>
          <w:bCs/>
        </w:rPr>
        <w:t>: okres półtrwania &gt; 40 min. w 95</w:t>
      </w:r>
      <w:r>
        <w:rPr>
          <w:bCs/>
        </w:rPr>
        <w:sym w:font="Symbol" w:char="F0B0"/>
      </w:r>
      <w:r>
        <w:rPr>
          <w:bCs/>
        </w:rPr>
        <w:t>C,</w:t>
      </w:r>
    </w:p>
    <w:p w:rsidR="002936B8" w:rsidRDefault="002936B8" w:rsidP="002936B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mix zawiera zmodyfikowane nukleotydy (np. biotynę, </w:t>
      </w:r>
      <w:proofErr w:type="spellStart"/>
      <w:r>
        <w:rPr>
          <w:bCs/>
        </w:rPr>
        <w:t>digoksygeninę</w:t>
      </w:r>
      <w:proofErr w:type="spellEnd"/>
      <w:r>
        <w:rPr>
          <w:bCs/>
        </w:rPr>
        <w:t>, nukleotydy znakowane fluorescencyjnie),</w:t>
      </w:r>
    </w:p>
    <w:p w:rsidR="002936B8" w:rsidRDefault="002936B8" w:rsidP="002936B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zastosowanie: rutynowa amplifikacja fragmentów DNA do 5 </w:t>
      </w:r>
      <w:proofErr w:type="spellStart"/>
      <w:r>
        <w:rPr>
          <w:bCs/>
        </w:rPr>
        <w:t>kB</w:t>
      </w:r>
      <w:proofErr w:type="spellEnd"/>
      <w:r>
        <w:rPr>
          <w:bCs/>
        </w:rPr>
        <w:t xml:space="preserve"> techniką PCR, wysokowydajna reakcja PCR, znakowanie DNA,</w:t>
      </w:r>
    </w:p>
    <w:p w:rsidR="002936B8" w:rsidRDefault="002936B8" w:rsidP="002936B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współczynnik błędu polimerazy DNA </w:t>
      </w:r>
      <w:proofErr w:type="spellStart"/>
      <w:r w:rsidRPr="005C3BF8">
        <w:rPr>
          <w:bCs/>
          <w:i/>
        </w:rPr>
        <w:t>Taq</w:t>
      </w:r>
      <w:proofErr w:type="spellEnd"/>
      <w:r>
        <w:rPr>
          <w:bCs/>
        </w:rPr>
        <w:t xml:space="preserve"> wynosi </w:t>
      </w:r>
      <w:r w:rsidRPr="00506F2B">
        <w:rPr>
          <w:bCs/>
        </w:rPr>
        <w:t>2.2 x 10</w:t>
      </w:r>
      <w:r w:rsidRPr="00506F2B">
        <w:rPr>
          <w:bCs/>
          <w:vertAlign w:val="superscript"/>
        </w:rPr>
        <w:t>-5</w:t>
      </w:r>
      <w:r w:rsidRPr="00506F2B">
        <w:rPr>
          <w:bCs/>
        </w:rPr>
        <w:t xml:space="preserve"> </w:t>
      </w:r>
      <w:r>
        <w:rPr>
          <w:bCs/>
        </w:rPr>
        <w:t>błędów na nukleotyd na cykl,</w:t>
      </w:r>
    </w:p>
    <w:p w:rsidR="002936B8" w:rsidRPr="00096838" w:rsidRDefault="002936B8" w:rsidP="002936B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dokładność reakcji PCR (średnia ilość nukleotydów włączonych prawidłowo zanim nastąpi błąd): 4.5</w:t>
      </w:r>
      <w:r w:rsidRPr="00506F2B">
        <w:rPr>
          <w:bCs/>
        </w:rPr>
        <w:t xml:space="preserve"> x 10</w:t>
      </w:r>
      <w:r w:rsidRPr="00506F2B">
        <w:rPr>
          <w:bCs/>
          <w:vertAlign w:val="superscript"/>
        </w:rPr>
        <w:t>-</w:t>
      </w:r>
      <w:r>
        <w:rPr>
          <w:bCs/>
          <w:vertAlign w:val="superscript"/>
        </w:rPr>
        <w:t>4</w:t>
      </w:r>
      <w:r>
        <w:rPr>
          <w:bCs/>
        </w:rPr>
        <w:t xml:space="preserve"> .</w:t>
      </w:r>
    </w:p>
    <w:p w:rsidR="002936B8" w:rsidRDefault="002936B8" w:rsidP="002936B8">
      <w:pPr>
        <w:rPr>
          <w:rFonts w:ascii="Arial Narrow" w:hAnsi="Arial Narrow"/>
          <w:sz w:val="20"/>
          <w:szCs w:val="20"/>
        </w:rPr>
      </w:pPr>
    </w:p>
    <w:p w:rsidR="002936B8" w:rsidRPr="006565BD" w:rsidRDefault="002936B8" w:rsidP="002936B8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proofErr w:type="spellStart"/>
      <w:r w:rsidRPr="006565BD">
        <w:rPr>
          <w:b/>
        </w:rPr>
        <w:t>Qubit</w:t>
      </w:r>
      <w:proofErr w:type="spellEnd"/>
      <w:r w:rsidRPr="006565BD">
        <w:rPr>
          <w:b/>
        </w:rPr>
        <w:t xml:space="preserve"> RNA HS </w:t>
      </w:r>
      <w:proofErr w:type="spellStart"/>
      <w:r w:rsidRPr="006565BD">
        <w:rPr>
          <w:b/>
        </w:rPr>
        <w:t>assay</w:t>
      </w:r>
      <w:proofErr w:type="spellEnd"/>
      <w:r w:rsidRPr="006565BD">
        <w:rPr>
          <w:b/>
        </w:rPr>
        <w:t xml:space="preserve"> kit, 500 oznaczeń</w:t>
      </w:r>
      <w:r w:rsidRPr="006565BD">
        <w:rPr>
          <w:b/>
          <w:bCs/>
        </w:rPr>
        <w:t>,</w:t>
      </w:r>
    </w:p>
    <w:p w:rsidR="002936B8" w:rsidRPr="00096838" w:rsidRDefault="002936B8" w:rsidP="002936B8">
      <w:pPr>
        <w:ind w:left="720"/>
        <w:jc w:val="both"/>
        <w:rPr>
          <w:bCs/>
        </w:rPr>
      </w:pPr>
      <w:r>
        <w:rPr>
          <w:b/>
          <w:bCs/>
        </w:rPr>
        <w:t>ilość 1</w:t>
      </w:r>
      <w:r w:rsidRPr="00096838">
        <w:rPr>
          <w:b/>
          <w:bCs/>
        </w:rPr>
        <w:t xml:space="preserve"> opakowani</w:t>
      </w:r>
      <w:r>
        <w:rPr>
          <w:b/>
          <w:bCs/>
        </w:rPr>
        <w:t>e</w:t>
      </w:r>
      <w:r w:rsidRPr="00096838">
        <w:rPr>
          <w:bCs/>
        </w:rPr>
        <w:t xml:space="preserve">, </w:t>
      </w:r>
    </w:p>
    <w:p w:rsidR="002936B8" w:rsidRDefault="002936B8" w:rsidP="002936B8">
      <w:pPr>
        <w:ind w:left="720"/>
        <w:jc w:val="both"/>
        <w:rPr>
          <w:bCs/>
        </w:rPr>
      </w:pPr>
      <w:r w:rsidRPr="00096838">
        <w:rPr>
          <w:bCs/>
        </w:rPr>
        <w:t>charakterystyka:</w:t>
      </w:r>
    </w:p>
    <w:p w:rsidR="002936B8" w:rsidRDefault="002936B8" w:rsidP="002936B8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zestaw odczynników wymagany do pomiaru stężenia RNA w niskich zakresach na </w:t>
      </w:r>
      <w:proofErr w:type="spellStart"/>
      <w:r>
        <w:rPr>
          <w:bCs/>
        </w:rPr>
        <w:t>fluorymetrze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Qubit</w:t>
      </w:r>
      <w:proofErr w:type="spellEnd"/>
      <w:r>
        <w:rPr>
          <w:bCs/>
        </w:rPr>
        <w:t xml:space="preserve"> 3.0,</w:t>
      </w:r>
    </w:p>
    <w:p w:rsidR="002936B8" w:rsidRDefault="002936B8" w:rsidP="002936B8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>metoda wysoko specyficzna w stosunku do RNA, pomiar wyklucza zanieczyszczenia DNA, białkami oraz wolnymi nukleotydami,</w:t>
      </w:r>
    </w:p>
    <w:p w:rsidR="002936B8" w:rsidRDefault="002936B8" w:rsidP="002936B8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metoda mało czuła na zanieczyszczenia solami, wolnymi nukleotydami, detergentami oraz białkami,</w:t>
      </w:r>
    </w:p>
    <w:p w:rsidR="002936B8" w:rsidRDefault="002936B8" w:rsidP="002936B8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pomiar stężeń RNA w zakresie 250 </w:t>
      </w:r>
      <w:proofErr w:type="spellStart"/>
      <w:r>
        <w:rPr>
          <w:bCs/>
        </w:rPr>
        <w:t>pg</w:t>
      </w:r>
      <w:proofErr w:type="spellEnd"/>
      <w:r>
        <w:rPr>
          <w:bCs/>
        </w:rPr>
        <w:t>/</w:t>
      </w:r>
      <w:r>
        <w:rPr>
          <w:bCs/>
        </w:rPr>
        <w:sym w:font="Symbol" w:char="F06D"/>
      </w:r>
      <w:r>
        <w:rPr>
          <w:bCs/>
        </w:rPr>
        <w:t xml:space="preserve">l a 100 </w:t>
      </w:r>
      <w:proofErr w:type="spellStart"/>
      <w:r>
        <w:rPr>
          <w:bCs/>
        </w:rPr>
        <w:t>ng</w:t>
      </w:r>
      <w:proofErr w:type="spellEnd"/>
      <w:r>
        <w:rPr>
          <w:bCs/>
        </w:rPr>
        <w:t>/</w:t>
      </w:r>
      <w:r>
        <w:rPr>
          <w:bCs/>
        </w:rPr>
        <w:sym w:font="Symbol" w:char="F06D"/>
      </w:r>
      <w:r>
        <w:rPr>
          <w:bCs/>
        </w:rPr>
        <w:t>l,</w:t>
      </w:r>
    </w:p>
    <w:p w:rsidR="002936B8" w:rsidRDefault="002936B8" w:rsidP="002936B8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objętość próbki RNA potrzebna do wykonania pomiaru: 1 – 20 </w:t>
      </w:r>
      <w:r>
        <w:rPr>
          <w:bCs/>
        </w:rPr>
        <w:sym w:font="Symbol" w:char="F06D"/>
      </w:r>
      <w:r>
        <w:rPr>
          <w:bCs/>
        </w:rPr>
        <w:t>l,</w:t>
      </w:r>
    </w:p>
    <w:p w:rsidR="002936B8" w:rsidRDefault="002936B8" w:rsidP="002936B8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zestaw zawiera skoncentrowany reagent, bufor do rozcieńczania </w:t>
      </w:r>
      <w:proofErr w:type="spellStart"/>
      <w:r>
        <w:rPr>
          <w:bCs/>
        </w:rPr>
        <w:t>reagentu</w:t>
      </w:r>
      <w:proofErr w:type="spellEnd"/>
      <w:r>
        <w:rPr>
          <w:bCs/>
        </w:rPr>
        <w:t xml:space="preserve"> oraz odpowiednio przygotowane roztwory kalibracyjne RNA.</w:t>
      </w:r>
    </w:p>
    <w:p w:rsidR="002936B8" w:rsidRPr="00096838" w:rsidRDefault="002936B8" w:rsidP="002936B8">
      <w:pPr>
        <w:ind w:left="720"/>
        <w:jc w:val="both"/>
        <w:rPr>
          <w:bCs/>
        </w:rPr>
      </w:pPr>
    </w:p>
    <w:p w:rsidR="002936B8" w:rsidRDefault="002936B8" w:rsidP="002936B8">
      <w:pPr>
        <w:jc w:val="both"/>
        <w:rPr>
          <w:b/>
          <w:bCs/>
        </w:rPr>
      </w:pPr>
    </w:p>
    <w:p w:rsidR="002936B8" w:rsidRPr="00B24096" w:rsidRDefault="002936B8" w:rsidP="002936B8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proofErr w:type="spellStart"/>
      <w:r w:rsidRPr="00B24096">
        <w:rPr>
          <w:b/>
        </w:rPr>
        <w:t>Qubit</w:t>
      </w:r>
      <w:proofErr w:type="spellEnd"/>
      <w:r w:rsidRPr="00B24096">
        <w:rPr>
          <w:b/>
        </w:rPr>
        <w:t xml:space="preserve"> </w:t>
      </w:r>
      <w:proofErr w:type="spellStart"/>
      <w:r w:rsidRPr="00B24096">
        <w:rPr>
          <w:b/>
        </w:rPr>
        <w:t>assay</w:t>
      </w:r>
      <w:proofErr w:type="spellEnd"/>
      <w:r w:rsidRPr="00B24096">
        <w:rPr>
          <w:b/>
        </w:rPr>
        <w:t xml:space="preserve"> </w:t>
      </w:r>
      <w:proofErr w:type="spellStart"/>
      <w:r w:rsidRPr="00B24096">
        <w:rPr>
          <w:b/>
        </w:rPr>
        <w:t>tubes</w:t>
      </w:r>
      <w:proofErr w:type="spellEnd"/>
      <w:r w:rsidRPr="00B24096">
        <w:rPr>
          <w:b/>
        </w:rPr>
        <w:t>, 500 szt.</w:t>
      </w:r>
    </w:p>
    <w:p w:rsidR="002936B8" w:rsidRPr="00B24096" w:rsidRDefault="002936B8" w:rsidP="002936B8">
      <w:pPr>
        <w:ind w:left="720"/>
        <w:jc w:val="both"/>
        <w:rPr>
          <w:bCs/>
        </w:rPr>
      </w:pPr>
      <w:r w:rsidRPr="00B24096">
        <w:rPr>
          <w:b/>
          <w:bCs/>
        </w:rPr>
        <w:t xml:space="preserve">ilość </w:t>
      </w:r>
      <w:r>
        <w:rPr>
          <w:b/>
          <w:bCs/>
        </w:rPr>
        <w:t>1</w:t>
      </w:r>
      <w:r w:rsidRPr="00B24096">
        <w:rPr>
          <w:b/>
          <w:bCs/>
        </w:rPr>
        <w:t xml:space="preserve"> opakowani</w:t>
      </w:r>
      <w:r>
        <w:rPr>
          <w:b/>
          <w:bCs/>
        </w:rPr>
        <w:t>e</w:t>
      </w:r>
      <w:r w:rsidRPr="00B24096">
        <w:rPr>
          <w:bCs/>
        </w:rPr>
        <w:t xml:space="preserve">, </w:t>
      </w:r>
    </w:p>
    <w:p w:rsidR="002936B8" w:rsidRDefault="002936B8" w:rsidP="002936B8">
      <w:pPr>
        <w:ind w:left="720"/>
        <w:jc w:val="both"/>
        <w:rPr>
          <w:bCs/>
        </w:rPr>
      </w:pPr>
      <w:r w:rsidRPr="00096838">
        <w:rPr>
          <w:bCs/>
        </w:rPr>
        <w:t>charakterystyka:</w:t>
      </w:r>
    </w:p>
    <w:p w:rsidR="002936B8" w:rsidRDefault="002936B8" w:rsidP="002936B8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cienkościenne probówki polipropylenowe o pojemności 500 </w:t>
      </w:r>
      <w:r>
        <w:rPr>
          <w:bCs/>
        </w:rPr>
        <w:sym w:font="Symbol" w:char="F06D"/>
      </w:r>
      <w:r>
        <w:rPr>
          <w:bCs/>
        </w:rPr>
        <w:t>l,</w:t>
      </w:r>
    </w:p>
    <w:p w:rsidR="002936B8" w:rsidRDefault="002936B8" w:rsidP="002936B8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niezbędne do wykonania pomiarów fluorymetrycznych stężeń kwasów nukleinowych na  </w:t>
      </w:r>
      <w:proofErr w:type="spellStart"/>
      <w:r>
        <w:rPr>
          <w:bCs/>
        </w:rPr>
        <w:t>fluorymetrze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Qubit</w:t>
      </w:r>
      <w:proofErr w:type="spellEnd"/>
      <w:r>
        <w:rPr>
          <w:bCs/>
        </w:rPr>
        <w:t xml:space="preserve"> 3.0</w:t>
      </w:r>
    </w:p>
    <w:p w:rsidR="002936B8" w:rsidRDefault="002936B8" w:rsidP="002936B8"/>
    <w:sectPr w:rsidR="002936B8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2ECB"/>
    <w:multiLevelType w:val="hybridMultilevel"/>
    <w:tmpl w:val="98207FAE"/>
    <w:lvl w:ilvl="0" w:tplc="62049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2247"/>
    <w:multiLevelType w:val="hybridMultilevel"/>
    <w:tmpl w:val="5C86E380"/>
    <w:lvl w:ilvl="0" w:tplc="62049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6110F"/>
    <w:multiLevelType w:val="hybridMultilevel"/>
    <w:tmpl w:val="88C42F7C"/>
    <w:lvl w:ilvl="0" w:tplc="8D661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40A96"/>
    <w:multiLevelType w:val="hybridMultilevel"/>
    <w:tmpl w:val="BCDE292A"/>
    <w:lvl w:ilvl="0" w:tplc="62049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9C7"/>
    <w:multiLevelType w:val="hybridMultilevel"/>
    <w:tmpl w:val="DACEBF36"/>
    <w:lvl w:ilvl="0" w:tplc="62049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6B8"/>
    <w:rsid w:val="002936B8"/>
    <w:rsid w:val="007C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2019-06-19T06:41:00Z</dcterms:created>
  <dcterms:modified xsi:type="dcterms:W3CDTF">2019-06-19T06:41:00Z</dcterms:modified>
</cp:coreProperties>
</file>