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4B7" w:rsidRDefault="00750786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 xml:space="preserve">Meble  kuchenne </w:t>
      </w:r>
    </w:p>
    <w:p w:rsidR="00750786" w:rsidRDefault="00750786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</w:pPr>
    </w:p>
    <w:p w:rsidR="00750786" w:rsidRPr="00750786" w:rsidRDefault="00750786" w:rsidP="0075078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50786">
        <w:rPr>
          <w:rFonts w:ascii="Arial" w:hAnsi="Arial" w:cs="Arial"/>
          <w:i/>
          <w:sz w:val="20"/>
          <w:szCs w:val="20"/>
        </w:rPr>
        <w:t xml:space="preserve">Meble muszą być wykonane w technologii zapewniającej długoletnią trwałość </w:t>
      </w:r>
      <w:r w:rsidRPr="00750786">
        <w:rPr>
          <w:rFonts w:ascii="Arial" w:hAnsi="Arial" w:cs="Arial"/>
          <w:i/>
          <w:sz w:val="20"/>
          <w:szCs w:val="20"/>
        </w:rPr>
        <w:br/>
        <w:t>w warunkach intensywnej eksploatacji w obiektach użyteczności publicznej tj. muszą być klejone i ściskane w procesie technologicznym w fabryce i w całości transportowane do siedziby Zamawiającego. Płyta we wszystkich meblach: słoje prowadzone wzdłuż dłuższych krawędzi elementu mebla z zachowaniem jednakowej kolorystyki i odcienia. Wszystkie rysunki wskazane w opisie przedmiotu zamówienia mają wyłącznie charakter poglądowy i pomocniczy.</w:t>
      </w:r>
      <w:r w:rsidRPr="00750786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750786">
        <w:rPr>
          <w:rFonts w:ascii="Arial" w:eastAsia="ArialMT" w:hAnsi="Arial" w:cs="Arial"/>
          <w:i/>
          <w:sz w:val="20"/>
          <w:szCs w:val="20"/>
        </w:rPr>
        <w:t>Meble</w:t>
      </w:r>
      <w:r w:rsidRPr="00750786">
        <w:rPr>
          <w:rFonts w:ascii="Arial" w:eastAsia="ArialMT" w:hAnsi="Arial" w:cs="Arial"/>
          <w:i/>
          <w:color w:val="FF0000"/>
          <w:sz w:val="20"/>
          <w:szCs w:val="20"/>
        </w:rPr>
        <w:t xml:space="preserve"> </w:t>
      </w:r>
      <w:r w:rsidRPr="00750786">
        <w:rPr>
          <w:rFonts w:ascii="Arial" w:eastAsia="ArialMT" w:hAnsi="Arial" w:cs="Arial"/>
          <w:i/>
          <w:sz w:val="20"/>
          <w:szCs w:val="20"/>
        </w:rPr>
        <w:t xml:space="preserve">w całości powinny być wykonane z płyty wiórowej </w:t>
      </w:r>
      <w:r w:rsidRPr="00750786">
        <w:rPr>
          <w:rFonts w:ascii="Arial" w:hAnsi="Arial" w:cs="Arial"/>
          <w:i/>
          <w:sz w:val="20"/>
          <w:szCs w:val="20"/>
        </w:rPr>
        <w:t>laminowanej</w:t>
      </w:r>
      <w:r w:rsidRPr="00750786">
        <w:rPr>
          <w:rFonts w:ascii="Arial" w:eastAsia="ArialMT" w:hAnsi="Arial" w:cs="Arial"/>
          <w:i/>
          <w:sz w:val="20"/>
          <w:szCs w:val="20"/>
        </w:rPr>
        <w:t xml:space="preserve"> Zastosowane płyty i obrzeża muszą się cechować odpornością na uszkodzenia mechaniczne, zarysowania, wilgoć i wysoką temperaturę oraz posiadać</w:t>
      </w:r>
      <w:r w:rsidRPr="00750786">
        <w:rPr>
          <w:rFonts w:ascii="Arial" w:hAnsi="Arial" w:cs="Arial"/>
          <w:i/>
          <w:sz w:val="20"/>
          <w:szCs w:val="20"/>
        </w:rPr>
        <w:t xml:space="preserve">  klasę higieniczności E-1. Wszystkie widoczne krawędzie mebli muszą być trwale zabezpieczone obrzeżem typu ABS lub PCV o grubości co najmniej </w:t>
      </w:r>
      <w:smartTag w:uri="urn:schemas-microsoft-com:office:smarttags" w:element="metricconverter">
        <w:smartTagPr>
          <w:attr w:name="ProductID" w:val="1 mm"/>
        </w:smartTagPr>
        <w:r w:rsidRPr="00750786">
          <w:rPr>
            <w:rFonts w:ascii="Arial" w:hAnsi="Arial" w:cs="Arial"/>
            <w:i/>
            <w:sz w:val="20"/>
            <w:szCs w:val="20"/>
          </w:rPr>
          <w:t>1 mm</w:t>
        </w:r>
      </w:smartTag>
      <w:r w:rsidRPr="00750786">
        <w:rPr>
          <w:rFonts w:ascii="Arial" w:hAnsi="Arial" w:cs="Arial"/>
          <w:i/>
          <w:sz w:val="20"/>
          <w:szCs w:val="20"/>
        </w:rPr>
        <w:t xml:space="preserve"> w </w:t>
      </w:r>
      <w:r w:rsidRPr="00750786">
        <w:rPr>
          <w:rFonts w:ascii="Arial" w:eastAsia="ArialMT" w:hAnsi="Arial" w:cs="Arial"/>
          <w:i/>
          <w:sz w:val="20"/>
          <w:szCs w:val="20"/>
        </w:rPr>
        <w:t>kolorze płyty lub blatu.</w:t>
      </w:r>
      <w:r w:rsidRPr="00750786">
        <w:rPr>
          <w:rFonts w:ascii="Arial" w:hAnsi="Arial" w:cs="Arial"/>
          <w:i/>
          <w:sz w:val="20"/>
          <w:szCs w:val="20"/>
        </w:rPr>
        <w:t xml:space="preserve"> Wszystkie meble muszą być wyposażone w stopki regulacyjne umożliwiające poziomowanie w zakresie co najmniej 0-</w:t>
      </w:r>
      <w:smartTag w:uri="urn:schemas-microsoft-com:office:smarttags" w:element="metricconverter">
        <w:smartTagPr>
          <w:attr w:name="ProductID" w:val="2 cm"/>
        </w:smartTagPr>
        <w:r w:rsidRPr="00750786">
          <w:rPr>
            <w:rFonts w:ascii="Arial" w:hAnsi="Arial" w:cs="Arial"/>
            <w:i/>
            <w:sz w:val="20"/>
            <w:szCs w:val="20"/>
          </w:rPr>
          <w:t>2 cm</w:t>
        </w:r>
      </w:smartTag>
      <w:r w:rsidRPr="00750786">
        <w:rPr>
          <w:rFonts w:ascii="Arial" w:hAnsi="Arial" w:cs="Arial"/>
          <w:i/>
          <w:sz w:val="20"/>
          <w:szCs w:val="20"/>
        </w:rPr>
        <w:t>.</w:t>
      </w:r>
    </w:p>
    <w:p w:rsidR="00750786" w:rsidRPr="00750786" w:rsidRDefault="00750786" w:rsidP="0075078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50786" w:rsidRDefault="00750786" w:rsidP="0075078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KOLOR mebli</w:t>
      </w:r>
    </w:p>
    <w:p w:rsidR="00750786" w:rsidRDefault="00750786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</w:pPr>
    </w:p>
    <w:p w:rsidR="00750786" w:rsidRPr="002E5D38" w:rsidRDefault="00750786" w:rsidP="00750786">
      <w:pPr>
        <w:spacing w:after="0" w:line="240" w:lineRule="auto"/>
        <w:ind w:left="142"/>
        <w:jc w:val="both"/>
        <w:outlineLvl w:val="1"/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</w:pPr>
      <w:r w:rsidRPr="002E5D38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 xml:space="preserve">Przykładowa kolorystyka: DĄB SONOMA R3181 lub </w:t>
      </w:r>
      <w:r w:rsidRPr="002E5D38"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>wzornika prod</w:t>
      </w:r>
      <w:r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>ucenta PFLEIDERER lub równoważny</w:t>
      </w:r>
      <w:r w:rsidRPr="002E5D38"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>.</w:t>
      </w:r>
    </w:p>
    <w:p w:rsidR="00750786" w:rsidRDefault="00750786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</w:pPr>
    </w:p>
    <w:p w:rsidR="00750786" w:rsidRDefault="00750786" w:rsidP="00750786">
      <w:pPr>
        <w:spacing w:after="0" w:line="240" w:lineRule="auto"/>
        <w:jc w:val="both"/>
        <w:rPr>
          <w:rFonts w:ascii="DejaVu Serif Condensed" w:eastAsiaTheme="minorEastAsia" w:hAnsi="DejaVu Serif Condensed" w:cs="Arial"/>
          <w:b/>
          <w:i/>
          <w:sz w:val="20"/>
          <w:szCs w:val="20"/>
          <w:u w:val="single"/>
          <w:lang w:eastAsia="pl-PL"/>
        </w:rPr>
      </w:pPr>
      <w:r w:rsidRPr="00635FEE">
        <w:rPr>
          <w:rFonts w:ascii="DejaVu Serif Condensed" w:eastAsiaTheme="minorEastAsia" w:hAnsi="DejaVu Serif Condensed" w:cs="Arial"/>
          <w:b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DejaVu Serif Condensed" w:eastAsiaTheme="minorEastAsia" w:hAnsi="DejaVu Serif Condensed" w:cs="Arial"/>
          <w:b/>
          <w:i/>
          <w:sz w:val="20"/>
          <w:szCs w:val="20"/>
          <w:u w:val="single"/>
          <w:lang w:eastAsia="pl-PL"/>
        </w:rPr>
        <w:t>UWAGA!</w:t>
      </w:r>
    </w:p>
    <w:p w:rsidR="00750786" w:rsidRDefault="00750786" w:rsidP="00750786">
      <w:pPr>
        <w:spacing w:after="0" w:line="240" w:lineRule="auto"/>
        <w:contextualSpacing/>
        <w:jc w:val="both"/>
        <w:rPr>
          <w:rFonts w:ascii="DejaVu Serif Condensed" w:eastAsiaTheme="minorEastAsia" w:hAnsi="DejaVu Serif Condensed" w:cs="Arial"/>
          <w:b/>
          <w:i/>
          <w:sz w:val="20"/>
          <w:szCs w:val="20"/>
          <w:lang w:eastAsia="pl-PL"/>
        </w:rPr>
      </w:pPr>
      <w:r>
        <w:rPr>
          <w:rFonts w:ascii="DejaVu Serif Condensed" w:eastAsiaTheme="minorEastAsia" w:hAnsi="DejaVu Serif Condensed" w:cs="Arial"/>
          <w:b/>
          <w:i/>
          <w:sz w:val="20"/>
          <w:szCs w:val="20"/>
          <w:lang w:eastAsia="pl-PL"/>
        </w:rPr>
        <w:t>Wysokość szafek stojących podano bez grubości blatu.</w:t>
      </w:r>
    </w:p>
    <w:p w:rsidR="00750786" w:rsidRDefault="00750786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</w:pPr>
    </w:p>
    <w:p w:rsidR="00E254B7" w:rsidRDefault="00E254B7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 xml:space="preserve">STOLIK KUCHENNY  wymiar: </w:t>
      </w:r>
      <w:r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>140</w:t>
      </w:r>
      <w:r w:rsidR="009800CD"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>0</w:t>
      </w:r>
      <w:r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 xml:space="preserve"> x 80</w:t>
      </w:r>
      <w:r w:rsidR="009800CD"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>0</w:t>
      </w:r>
      <w:r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 xml:space="preserve"> </w:t>
      </w:r>
      <w:r w:rsidRPr="00B4606A"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 xml:space="preserve"> [mm]</w:t>
      </w:r>
    </w:p>
    <w:p w:rsidR="008459FE" w:rsidRPr="00B4606A" w:rsidRDefault="008459FE" w:rsidP="008459FE">
      <w:pPr>
        <w:tabs>
          <w:tab w:val="left" w:pos="142"/>
        </w:tabs>
        <w:spacing w:after="0" w:line="240" w:lineRule="auto"/>
        <w:ind w:left="360"/>
        <w:jc w:val="both"/>
        <w:outlineLvl w:val="1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  <w:tab/>
      </w:r>
    </w:p>
    <w:p w:rsidR="008459FE" w:rsidRPr="00B4606A" w:rsidRDefault="008459FE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STOLIK - z blatem prostokątnym, o  grubości nie mniejszej niż </w:t>
      </w:r>
      <w:smartTag w:uri="urn:schemas-microsoft-com:office:smarttags" w:element="metricconverter">
        <w:smartTagPr>
          <w:attr w:name="ProductID" w:val="22 mm"/>
        </w:smartTagPr>
        <w:r w:rsidRPr="00B4606A">
          <w:rPr>
            <w:rFonts w:asciiTheme="majorHAnsi" w:eastAsiaTheme="minorEastAsia" w:hAnsiTheme="majorHAnsi" w:cstheme="majorHAnsi"/>
            <w:sz w:val="20"/>
            <w:szCs w:val="20"/>
            <w:lang w:eastAsia="pl-PL"/>
          </w:rPr>
          <w:t>22 mm</w:t>
        </w:r>
      </w:smartTag>
      <w:r w:rsidRPr="00B4606A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. Konstrukcja stelaża oparta na </w:t>
      </w:r>
      <w:r w:rsidRPr="00B4606A">
        <w:rPr>
          <w:rFonts w:asciiTheme="majorHAnsi" w:eastAsiaTheme="minorEastAsia" w:hAnsiTheme="majorHAnsi" w:cstheme="majorHAnsi"/>
          <w:sz w:val="20"/>
          <w:szCs w:val="20"/>
          <w:lang w:eastAsia="pl-PL"/>
        </w:rPr>
        <w:br/>
        <w:t xml:space="preserve">4 nogach z profilem stalowym poprzecznym. </w:t>
      </w:r>
    </w:p>
    <w:p w:rsidR="008B1F8F" w:rsidRDefault="008B1F8F" w:rsidP="008459FE">
      <w:pPr>
        <w:rPr>
          <w:rFonts w:asciiTheme="majorHAnsi" w:eastAsiaTheme="minorEastAsia" w:hAnsiTheme="majorHAnsi" w:cstheme="majorHAnsi"/>
          <w:b/>
          <w:i/>
          <w:sz w:val="20"/>
          <w:szCs w:val="20"/>
          <w:lang w:eastAsia="pl-PL"/>
        </w:rPr>
      </w:pPr>
    </w:p>
    <w:p w:rsidR="008459FE" w:rsidRPr="00B4606A" w:rsidRDefault="008459FE" w:rsidP="008459FE">
      <w:pPr>
        <w:rPr>
          <w:rFonts w:asciiTheme="majorHAnsi" w:eastAsiaTheme="minorEastAsia" w:hAnsiTheme="majorHAnsi" w:cstheme="majorHAnsi"/>
          <w:b/>
          <w:i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298C796" wp14:editId="2A2D89D4">
            <wp:simplePos x="0" y="0"/>
            <wp:positionH relativeFrom="column">
              <wp:posOffset>501015</wp:posOffset>
            </wp:positionH>
            <wp:positionV relativeFrom="paragraph">
              <wp:posOffset>208280</wp:posOffset>
            </wp:positionV>
            <wp:extent cx="1257300" cy="1114425"/>
            <wp:effectExtent l="19050" t="0" r="0" b="0"/>
            <wp:wrapSquare wrapText="bothSides"/>
            <wp:docPr id="1" name="Obraz 2" descr="biurko-invest-smart-jbf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rko-invest-smart-jbf0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606A">
        <w:rPr>
          <w:rFonts w:asciiTheme="majorHAnsi" w:eastAsiaTheme="minorEastAsia" w:hAnsiTheme="majorHAnsi" w:cstheme="majorHAnsi"/>
          <w:b/>
          <w:i/>
          <w:sz w:val="20"/>
          <w:szCs w:val="20"/>
          <w:lang w:eastAsia="pl-PL"/>
        </w:rPr>
        <w:t>Przykładowe rozwiązanie:</w:t>
      </w:r>
    </w:p>
    <w:p w:rsidR="008459FE" w:rsidRPr="00B4606A" w:rsidRDefault="008459FE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 xml:space="preserve">SZAFKA KUCHENNA STOJĄCA </w:t>
      </w:r>
      <w:smartTag w:uri="urn:schemas-microsoft-com:office:smarttags" w:element="metricconverter">
        <w:smartTagPr>
          <w:attr w:name="ProductID" w:val="60 CM"/>
        </w:smartTagPr>
        <w:r w:rsidRPr="00B4606A">
          <w:rPr>
            <w:rFonts w:asciiTheme="majorHAnsi" w:eastAsiaTheme="minorEastAsia" w:hAnsiTheme="majorHAnsi" w:cstheme="majorHAnsi"/>
            <w:b/>
            <w:sz w:val="20"/>
            <w:szCs w:val="20"/>
            <w:lang w:eastAsia="pl-PL"/>
          </w:rPr>
          <w:t>60 CM</w:t>
        </w:r>
      </w:smartTag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 xml:space="preserve"> </w:t>
      </w: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ab/>
        <w:t>wymiar: 600x560x721h [mm]</w:t>
      </w: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300D56AB" wp14:editId="0AC2B0FF">
            <wp:simplePos x="0" y="0"/>
            <wp:positionH relativeFrom="column">
              <wp:posOffset>-129540</wp:posOffset>
            </wp:positionH>
            <wp:positionV relativeFrom="paragraph">
              <wp:posOffset>157480</wp:posOffset>
            </wp:positionV>
            <wp:extent cx="1887855" cy="1577975"/>
            <wp:effectExtent l="19050" t="0" r="0" b="0"/>
            <wp:wrapNone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9FE" w:rsidRPr="00B4606A" w:rsidRDefault="008459FE" w:rsidP="008459FE">
      <w:pPr>
        <w:spacing w:after="0" w:line="240" w:lineRule="auto"/>
        <w:ind w:left="705" w:hanging="345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705" w:hanging="345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705" w:hanging="345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Default="008459FE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9800CD" w:rsidRDefault="009800CD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9800CD" w:rsidRDefault="009800CD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9800CD" w:rsidRPr="00B4606A" w:rsidRDefault="009800CD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-360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142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 xml:space="preserve">SZAFKA ZLEWOZMYWAKOWA STOJĄCA </w:t>
      </w:r>
      <w:smartTag w:uri="urn:schemas-microsoft-com:office:smarttags" w:element="metricconverter">
        <w:smartTagPr>
          <w:attr w:name="ProductID" w:val="80 CM"/>
        </w:smartTagPr>
        <w:r w:rsidRPr="00B4606A">
          <w:rPr>
            <w:rFonts w:asciiTheme="majorHAnsi" w:eastAsiaTheme="minorEastAsia" w:hAnsiTheme="majorHAnsi" w:cstheme="majorHAnsi"/>
            <w:b/>
            <w:sz w:val="20"/>
            <w:szCs w:val="20"/>
            <w:lang w:eastAsia="pl-PL"/>
          </w:rPr>
          <w:t>80 CM</w:t>
        </w:r>
      </w:smartTag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u w:val="single"/>
          <w:lang w:eastAsia="pl-PL"/>
        </w:rPr>
      </w:pP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ab/>
        <w:t>wymiar: 800x560x721h  [mm]</w:t>
      </w:r>
    </w:p>
    <w:p w:rsidR="008459FE" w:rsidRPr="00B4606A" w:rsidRDefault="008459FE" w:rsidP="008459FE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6A0CD610" wp14:editId="097D2332">
            <wp:simplePos x="0" y="0"/>
            <wp:positionH relativeFrom="column">
              <wp:posOffset>16510</wp:posOffset>
            </wp:positionH>
            <wp:positionV relativeFrom="paragraph">
              <wp:posOffset>4445</wp:posOffset>
            </wp:positionV>
            <wp:extent cx="1549400" cy="1777365"/>
            <wp:effectExtent l="19050" t="0" r="0" b="0"/>
            <wp:wrapNone/>
            <wp:docPr id="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24" b="1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B60859" w:rsidRDefault="00B60859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B60859" w:rsidRDefault="00B60859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B60859" w:rsidRDefault="00B60859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 xml:space="preserve">Przystosowana do montażu zlewu jednokomorowego z </w:t>
      </w:r>
      <w:proofErr w:type="spellStart"/>
      <w:r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>ociekaczem</w:t>
      </w:r>
      <w:proofErr w:type="spellEnd"/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B60859">
      <w:pPr>
        <w:tabs>
          <w:tab w:val="left" w:pos="0"/>
        </w:tabs>
        <w:spacing w:after="0" w:line="240" w:lineRule="auto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 xml:space="preserve">SZAFKA KUCHENNA ŚCIENNA </w:t>
      </w:r>
      <w:smartTag w:uri="urn:schemas-microsoft-com:office:smarttags" w:element="metricconverter">
        <w:smartTagPr>
          <w:attr w:name="ProductID" w:val="80 CM"/>
        </w:smartTagPr>
        <w:r w:rsidRPr="00B4606A">
          <w:rPr>
            <w:rFonts w:asciiTheme="majorHAnsi" w:eastAsiaTheme="minorEastAsia" w:hAnsiTheme="majorHAnsi" w:cstheme="majorHAnsi"/>
            <w:b/>
            <w:sz w:val="20"/>
            <w:szCs w:val="20"/>
            <w:lang w:eastAsia="pl-PL"/>
          </w:rPr>
          <w:t>80 CM</w:t>
        </w:r>
      </w:smartTag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 xml:space="preserve"> </w:t>
      </w:r>
      <w:r w:rsidR="009800CD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 xml:space="preserve"> z półkami wykonanymi z płyty</w:t>
      </w: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br/>
      </w: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ab/>
      </w: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ab/>
        <w:t xml:space="preserve"> </w:t>
      </w:r>
    </w:p>
    <w:p w:rsidR="008459FE" w:rsidRPr="00B4606A" w:rsidRDefault="00C217E6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ab/>
      </w:r>
      <w:r w:rsidR="008459FE"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>wymiar: 800x330x721h [mm]</w:t>
      </w:r>
    </w:p>
    <w:p w:rsidR="008459FE" w:rsidRPr="00B4606A" w:rsidRDefault="008459FE" w:rsidP="008459FE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sz w:val="20"/>
          <w:szCs w:val="20"/>
          <w:lang w:eastAsia="pl-PL"/>
        </w:rPr>
        <w:tab/>
      </w:r>
      <w:r w:rsidRPr="00B4606A">
        <w:rPr>
          <w:rFonts w:asciiTheme="majorHAnsi" w:eastAsiaTheme="minorEastAsia" w:hAnsiTheme="majorHAnsi" w:cstheme="majorHAnsi"/>
          <w:sz w:val="20"/>
          <w:szCs w:val="20"/>
          <w:lang w:eastAsia="pl-PL"/>
        </w:rPr>
        <w:tab/>
      </w: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 wp14:anchorId="6EFC5CBC" wp14:editId="627E8AEF">
            <wp:simplePos x="0" y="0"/>
            <wp:positionH relativeFrom="column">
              <wp:posOffset>276225</wp:posOffset>
            </wp:positionH>
            <wp:positionV relativeFrom="paragraph">
              <wp:posOffset>42545</wp:posOffset>
            </wp:positionV>
            <wp:extent cx="1814830" cy="1802765"/>
            <wp:effectExtent l="19050" t="0" r="0" b="0"/>
            <wp:wrapNone/>
            <wp:docPr id="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335" b="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9FE" w:rsidRPr="00B4606A" w:rsidRDefault="008459FE" w:rsidP="008459FE">
      <w:pPr>
        <w:spacing w:after="0" w:line="240" w:lineRule="auto"/>
        <w:ind w:left="360"/>
        <w:jc w:val="both"/>
        <w:outlineLvl w:val="1"/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360"/>
        <w:jc w:val="both"/>
        <w:outlineLvl w:val="1"/>
        <w:rPr>
          <w:rFonts w:asciiTheme="majorHAnsi" w:eastAsiaTheme="minorEastAsia" w:hAnsiTheme="majorHAnsi" w:cstheme="majorHAnsi"/>
          <w:b/>
          <w:bCs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B4606A" w:rsidRDefault="008459FE" w:rsidP="008459FE">
      <w:pPr>
        <w:spacing w:after="0" w:line="240" w:lineRule="auto"/>
        <w:ind w:left="360"/>
        <w:contextualSpacing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 xml:space="preserve"> BLAT KUCHENNY  - </w:t>
      </w:r>
    </w:p>
    <w:p w:rsidR="008459FE" w:rsidRPr="00B4606A" w:rsidRDefault="008459FE" w:rsidP="008459FE">
      <w:pPr>
        <w:spacing w:after="0" w:line="240" w:lineRule="auto"/>
        <w:ind w:left="720"/>
        <w:contextualSpacing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>wymiar – 800 cm szerokość</w:t>
      </w:r>
    </w:p>
    <w:p w:rsidR="008459FE" w:rsidRPr="00B4606A" w:rsidRDefault="008459FE" w:rsidP="008459FE">
      <w:pPr>
        <w:spacing w:after="0" w:line="240" w:lineRule="auto"/>
        <w:ind w:left="720" w:hanging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Default="008459FE" w:rsidP="00C217E6">
      <w:pPr>
        <w:spacing w:after="0" w:line="240" w:lineRule="auto"/>
        <w:ind w:left="720" w:hanging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B4606A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BLAT - wykonany z płyty wiórowej laminowanej, o grubości co najmniej </w:t>
      </w:r>
      <w:smartTag w:uri="urn:schemas-microsoft-com:office:smarttags" w:element="metricconverter">
        <w:smartTagPr>
          <w:attr w:name="ProductID" w:val="22 mm"/>
        </w:smartTagPr>
        <w:r w:rsidRPr="00B4606A">
          <w:rPr>
            <w:rFonts w:asciiTheme="majorHAnsi" w:eastAsiaTheme="minorEastAsia" w:hAnsiTheme="majorHAnsi" w:cstheme="majorHAnsi"/>
            <w:sz w:val="20"/>
            <w:szCs w:val="20"/>
            <w:lang w:eastAsia="pl-PL"/>
          </w:rPr>
          <w:t>22 mm</w:t>
        </w:r>
      </w:smartTag>
      <w:r w:rsidRPr="00B4606A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, </w:t>
      </w:r>
      <w:r w:rsidR="00C217E6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 odporny na uszkodzenia mechaniczne oraz na środki chemiczne, działanie wody i temperatury w kolorze imitującym drewno</w:t>
      </w:r>
    </w:p>
    <w:p w:rsidR="008B1F8F" w:rsidRDefault="008B1F8F" w:rsidP="00C217E6">
      <w:pPr>
        <w:spacing w:after="0" w:line="240" w:lineRule="auto"/>
        <w:ind w:left="720" w:hanging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B1F8F" w:rsidRDefault="00B60859" w:rsidP="00C217E6">
      <w:pPr>
        <w:spacing w:after="0" w:line="240" w:lineRule="auto"/>
        <w:ind w:left="720" w:hanging="360"/>
        <w:contextualSpacing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>SZAFKA  KUCHENNA STOJĄCA  60CM</w:t>
      </w:r>
    </w:p>
    <w:p w:rsidR="00B60859" w:rsidRPr="000D5AC8" w:rsidRDefault="00B60859" w:rsidP="00C217E6">
      <w:pPr>
        <w:spacing w:after="0" w:line="240" w:lineRule="auto"/>
        <w:ind w:left="720" w:hanging="360"/>
        <w:contextualSpacing/>
        <w:jc w:val="both"/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</w:pPr>
    </w:p>
    <w:p w:rsidR="008B1F8F" w:rsidRDefault="00DE5522" w:rsidP="00C217E6">
      <w:pPr>
        <w:spacing w:after="0" w:line="240" w:lineRule="auto"/>
        <w:ind w:left="720" w:hanging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>wymiar: 600x560x1000</w:t>
      </w:r>
      <w:r w:rsidRPr="00B4606A">
        <w:rPr>
          <w:rFonts w:asciiTheme="majorHAnsi" w:eastAsiaTheme="minorEastAsia" w:hAnsiTheme="majorHAnsi" w:cstheme="majorHAnsi"/>
          <w:b/>
          <w:sz w:val="20"/>
          <w:szCs w:val="20"/>
          <w:lang w:eastAsia="pl-PL"/>
        </w:rPr>
        <w:t>h [mm]</w:t>
      </w:r>
    </w:p>
    <w:p w:rsidR="008B1F8F" w:rsidRDefault="008B1F8F" w:rsidP="00C217E6">
      <w:pPr>
        <w:spacing w:after="0" w:line="240" w:lineRule="auto"/>
        <w:ind w:left="720" w:hanging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 </w:t>
      </w:r>
    </w:p>
    <w:p w:rsidR="008B1F8F" w:rsidRPr="00B4606A" w:rsidRDefault="008B1F8F" w:rsidP="00C217E6">
      <w:pPr>
        <w:spacing w:after="0" w:line="240" w:lineRule="auto"/>
        <w:ind w:left="720" w:hanging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Górny wieniec zakończony blatem kuchennym </w:t>
      </w:r>
      <w:r w:rsidR="00B60859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 imitującym drewno </w:t>
      </w:r>
      <w:r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 o parametrach  wskazanych powyżej</w:t>
      </w:r>
      <w:r w:rsidR="00B60859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 przystosowanym do postawienia kuchenki mikrofalowej.</w:t>
      </w:r>
    </w:p>
    <w:p w:rsidR="008459FE" w:rsidRPr="00B4606A" w:rsidRDefault="008459FE" w:rsidP="008459FE">
      <w:pPr>
        <w:spacing w:after="0" w:line="240" w:lineRule="auto"/>
        <w:ind w:left="720" w:hanging="360"/>
        <w:contextualSpacing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DB162F" w:rsidRDefault="008459FE" w:rsidP="008459FE">
      <w:pPr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</w:p>
    <w:p w:rsidR="008459FE" w:rsidRPr="00DB162F" w:rsidRDefault="008459FE" w:rsidP="008B1F8F">
      <w:pPr>
        <w:spacing w:after="200" w:line="276" w:lineRule="auto"/>
        <w:ind w:left="1080"/>
        <w:jc w:val="both"/>
        <w:rPr>
          <w:rFonts w:asciiTheme="majorHAnsi" w:eastAsiaTheme="minorEastAsia" w:hAnsiTheme="majorHAnsi" w:cs="Arial"/>
          <w:b/>
          <w:sz w:val="20"/>
          <w:szCs w:val="20"/>
          <w:lang w:eastAsia="pl-PL"/>
        </w:rPr>
      </w:pPr>
      <w:r w:rsidRPr="00DB162F">
        <w:rPr>
          <w:rFonts w:asciiTheme="majorHAnsi" w:eastAsiaTheme="minorEastAsia" w:hAnsiTheme="majorHAnsi" w:cs="Arial"/>
          <w:b/>
          <w:sz w:val="20"/>
          <w:szCs w:val="20"/>
          <w:lang w:eastAsia="pl-PL"/>
        </w:rPr>
        <w:t>Ogólne wymagania dotyczące asortymentu:</w:t>
      </w:r>
    </w:p>
    <w:p w:rsidR="008459FE" w:rsidRPr="008B1F8F" w:rsidRDefault="008459FE" w:rsidP="008B1F8F">
      <w:pPr>
        <w:spacing w:after="200" w:line="276" w:lineRule="auto"/>
        <w:ind w:left="360"/>
        <w:jc w:val="both"/>
        <w:rPr>
          <w:rFonts w:asciiTheme="majorHAnsi" w:eastAsiaTheme="minorEastAsia" w:hAnsiTheme="majorHAnsi" w:cs="Arial"/>
          <w:b/>
          <w:sz w:val="20"/>
          <w:szCs w:val="20"/>
          <w:lang w:eastAsia="pl-PL"/>
        </w:rPr>
      </w:pPr>
      <w:r w:rsidRPr="00DB162F">
        <w:rPr>
          <w:rFonts w:asciiTheme="majorHAnsi" w:eastAsiaTheme="minorEastAsia" w:hAnsiTheme="majorHAnsi" w:cs="Arial"/>
          <w:sz w:val="20"/>
          <w:szCs w:val="20"/>
          <w:lang w:eastAsia="pl-PL"/>
        </w:rPr>
        <w:t>1.Dostarczony asortyment musi być fabrycznie nowy, kompletny, w kategorii „I” i sprawny</w:t>
      </w:r>
      <w:r w:rsidRPr="00DB162F">
        <w:rPr>
          <w:rFonts w:asciiTheme="majorHAnsi" w:eastAsiaTheme="minorEastAsia" w:hAnsiTheme="majorHAnsi" w:cs="Arial"/>
          <w:b/>
          <w:sz w:val="20"/>
          <w:szCs w:val="20"/>
          <w:lang w:eastAsia="pl-PL"/>
        </w:rPr>
        <w:t xml:space="preserve"> t</w:t>
      </w:r>
      <w:r w:rsidRPr="00DB162F">
        <w:rPr>
          <w:rFonts w:asciiTheme="majorHAnsi" w:eastAsiaTheme="minorEastAsia" w:hAnsiTheme="majorHAnsi" w:cs="Arial"/>
          <w:sz w:val="20"/>
          <w:szCs w:val="20"/>
          <w:lang w:eastAsia="pl-PL"/>
        </w:rPr>
        <w:t xml:space="preserve">echnicznie.  </w:t>
      </w:r>
      <w:r w:rsidR="008B1F8F">
        <w:rPr>
          <w:rFonts w:asciiTheme="majorHAnsi" w:eastAsiaTheme="minorEastAsia" w:hAnsiTheme="majorHAnsi" w:cs="Arial"/>
          <w:sz w:val="20"/>
          <w:szCs w:val="20"/>
          <w:lang w:eastAsia="pl-PL"/>
        </w:rPr>
        <w:t xml:space="preserve">                           </w:t>
      </w:r>
      <w:r w:rsidR="008B1F8F">
        <w:rPr>
          <w:rFonts w:asciiTheme="majorHAnsi" w:eastAsiaTheme="minorEastAsia" w:hAnsiTheme="majorHAnsi" w:cs="Arial"/>
          <w:b/>
          <w:sz w:val="20"/>
          <w:szCs w:val="20"/>
          <w:lang w:eastAsia="pl-PL"/>
        </w:rPr>
        <w:t>2</w:t>
      </w:r>
      <w:r w:rsidR="008B1F8F">
        <w:rPr>
          <w:rFonts w:asciiTheme="majorHAnsi" w:eastAsiaTheme="minorEastAsia" w:hAnsiTheme="majorHAnsi" w:cs="Arial"/>
          <w:sz w:val="20"/>
          <w:szCs w:val="20"/>
          <w:lang w:eastAsia="pl-PL"/>
        </w:rPr>
        <w:t>.</w:t>
      </w:r>
      <w:r w:rsidRPr="00DB162F">
        <w:rPr>
          <w:rFonts w:asciiTheme="majorHAnsi" w:eastAsiaTheme="minorEastAsia" w:hAnsiTheme="majorHAnsi" w:cs="Arial"/>
          <w:sz w:val="20"/>
          <w:szCs w:val="20"/>
          <w:lang w:eastAsia="pl-PL"/>
        </w:rPr>
        <w:t xml:space="preserve">Przedmiot zamówienia obejmuje również wniesienie i ustawienie we wskazanym przez Zamawiającego miejscu </w:t>
      </w:r>
      <w:r w:rsidR="00B60859">
        <w:rPr>
          <w:rFonts w:asciiTheme="majorHAnsi" w:eastAsiaTheme="minorEastAsia" w:hAnsiTheme="majorHAnsi" w:cs="Arial"/>
          <w:sz w:val="20"/>
          <w:szCs w:val="20"/>
          <w:lang w:eastAsia="pl-PL"/>
        </w:rPr>
        <w:t>.</w:t>
      </w:r>
    </w:p>
    <w:p w:rsidR="008459FE" w:rsidRPr="00DB162F" w:rsidRDefault="008B1F8F" w:rsidP="008459FE">
      <w:pPr>
        <w:spacing w:after="0" w:line="276" w:lineRule="auto"/>
        <w:ind w:left="567" w:hanging="207"/>
        <w:rPr>
          <w:rFonts w:asciiTheme="majorHAnsi" w:eastAsiaTheme="minorEastAsia" w:hAnsiTheme="majorHAnsi" w:cs="Arial"/>
          <w:sz w:val="20"/>
          <w:szCs w:val="20"/>
          <w:lang w:eastAsia="pl-PL"/>
        </w:rPr>
      </w:pPr>
      <w:r>
        <w:rPr>
          <w:rFonts w:asciiTheme="majorHAnsi" w:eastAsiaTheme="minorEastAsia" w:hAnsiTheme="majorHAnsi" w:cs="Arial"/>
          <w:sz w:val="20"/>
          <w:szCs w:val="20"/>
          <w:lang w:eastAsia="pl-PL"/>
        </w:rPr>
        <w:lastRenderedPageBreak/>
        <w:t>3</w:t>
      </w:r>
      <w:r w:rsidR="008459FE" w:rsidRPr="00DB162F">
        <w:rPr>
          <w:rFonts w:asciiTheme="majorHAnsi" w:eastAsiaTheme="minorEastAsia" w:hAnsiTheme="majorHAnsi" w:cs="Arial"/>
          <w:sz w:val="20"/>
          <w:szCs w:val="20"/>
          <w:lang w:eastAsia="pl-PL"/>
        </w:rPr>
        <w:t>.</w:t>
      </w:r>
      <w:r w:rsidR="008459FE" w:rsidRPr="00DB162F">
        <w:rPr>
          <w:rFonts w:asciiTheme="majorHAnsi" w:eastAsiaTheme="minorEastAsia" w:hAnsiTheme="majorHAnsi" w:cs="Arial"/>
          <w:sz w:val="20"/>
          <w:szCs w:val="20"/>
          <w:lang w:eastAsia="pl-PL"/>
        </w:rPr>
        <w:tab/>
        <w:t xml:space="preserve">Asortyment powinien posiadać odpowiednią wytrzymałość gwarantującą bezawaryjną </w:t>
      </w:r>
      <w:r w:rsidR="008459FE" w:rsidRPr="00DB162F">
        <w:rPr>
          <w:rFonts w:asciiTheme="majorHAnsi" w:eastAsiaTheme="minorEastAsia" w:hAnsiTheme="majorHAnsi" w:cs="Arial"/>
          <w:sz w:val="20"/>
          <w:szCs w:val="20"/>
          <w:lang w:eastAsia="pl-PL"/>
        </w:rPr>
        <w:tab/>
        <w:t xml:space="preserve">eksploatacje, zapewnioną poprzez system mocnych łączeń i właściwą jakość użytych materiałów.  Ponadto elementy ruchome muszą charakteryzować się bezkolizyjnym i  bezpiecznym ich użytkowaniem. </w:t>
      </w:r>
    </w:p>
    <w:p w:rsidR="008459FE" w:rsidRPr="00DB162F" w:rsidRDefault="008459FE" w:rsidP="008459FE">
      <w:pPr>
        <w:spacing w:after="0" w:line="240" w:lineRule="auto"/>
        <w:ind w:left="360"/>
        <w:jc w:val="both"/>
        <w:rPr>
          <w:rFonts w:asciiTheme="majorHAnsi" w:eastAsiaTheme="minorEastAsia" w:hAnsiTheme="majorHAnsi" w:cs="Arial"/>
          <w:sz w:val="20"/>
          <w:szCs w:val="20"/>
          <w:lang w:eastAsia="pl-PL"/>
        </w:rPr>
      </w:pPr>
    </w:p>
    <w:p w:rsidR="008459FE" w:rsidRPr="00DB162F" w:rsidRDefault="008459FE" w:rsidP="008459FE">
      <w:pPr>
        <w:spacing w:after="0" w:line="240" w:lineRule="auto"/>
        <w:ind w:left="360"/>
        <w:jc w:val="both"/>
        <w:rPr>
          <w:rFonts w:asciiTheme="majorHAnsi" w:eastAsiaTheme="minorEastAsia" w:hAnsiTheme="majorHAnsi" w:cs="Arial"/>
          <w:sz w:val="20"/>
          <w:szCs w:val="20"/>
          <w:lang w:eastAsia="pl-PL"/>
        </w:rPr>
      </w:pPr>
    </w:p>
    <w:p w:rsidR="00627C41" w:rsidRDefault="00627C41"/>
    <w:sectPr w:rsidR="0062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756CE"/>
    <w:multiLevelType w:val="hybridMultilevel"/>
    <w:tmpl w:val="19D2D834"/>
    <w:lvl w:ilvl="0" w:tplc="10A03D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FE"/>
    <w:rsid w:val="000D5AC8"/>
    <w:rsid w:val="00253A3E"/>
    <w:rsid w:val="00627C41"/>
    <w:rsid w:val="00750786"/>
    <w:rsid w:val="007C63F4"/>
    <w:rsid w:val="008459FE"/>
    <w:rsid w:val="008B1F8F"/>
    <w:rsid w:val="009800CD"/>
    <w:rsid w:val="00B60859"/>
    <w:rsid w:val="00C217E6"/>
    <w:rsid w:val="00DE5522"/>
    <w:rsid w:val="00E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BB429-4181-4A30-BC24-64F54CCD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A51205</cp:lastModifiedBy>
  <cp:revision>2</cp:revision>
  <cp:lastPrinted>2022-08-12T12:11:00Z</cp:lastPrinted>
  <dcterms:created xsi:type="dcterms:W3CDTF">2022-08-25T11:39:00Z</dcterms:created>
  <dcterms:modified xsi:type="dcterms:W3CDTF">2022-08-25T11:39:00Z</dcterms:modified>
</cp:coreProperties>
</file>