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04" w:rsidRDefault="001C0504" w:rsidP="001C0504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F4297F6" wp14:editId="18CCA025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7D2874DE" wp14:editId="14186927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786C46E" wp14:editId="582A5978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BB7428F" wp14:editId="70814C5A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C848BA" w:rsidRDefault="00C848BA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3D29E3" w:rsidRDefault="003D29E3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5.5 do SWZ 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Pr="00105A08" w:rsidRDefault="003D29E3" w:rsidP="003D29E3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:rsidR="001A0929" w:rsidRPr="003D29E3" w:rsidRDefault="001A0929" w:rsidP="001A0929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:rsidR="001A0929" w:rsidRPr="00CA4A5B" w:rsidRDefault="002764CE" w:rsidP="001A0929">
      <w:pPr>
        <w:jc w:val="center"/>
        <w:rPr>
          <w:rFonts w:ascii="Tahoma" w:hAnsi="Tahoma" w:cs="Tahoma"/>
          <w:b/>
          <w:bCs/>
          <w:sz w:val="18"/>
          <w:szCs w:val="18"/>
          <w:highlight w:val="yellow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 xml:space="preserve">Część </w:t>
      </w:r>
      <w:r w:rsidR="000D7E96" w:rsidRPr="003D29E3">
        <w:rPr>
          <w:rFonts w:ascii="Tahoma" w:hAnsi="Tahoma" w:cs="Tahoma"/>
          <w:b/>
          <w:bCs/>
          <w:sz w:val="20"/>
          <w:szCs w:val="20"/>
        </w:rPr>
        <w:t>5</w:t>
      </w:r>
      <w:r w:rsidRPr="003D29E3">
        <w:rPr>
          <w:rFonts w:ascii="Tahoma" w:hAnsi="Tahoma" w:cs="Tahoma"/>
          <w:b/>
          <w:bCs/>
          <w:sz w:val="20"/>
          <w:szCs w:val="20"/>
        </w:rPr>
        <w:t xml:space="preserve"> - Dostawa </w:t>
      </w:r>
      <w:r w:rsidR="00573F49">
        <w:rPr>
          <w:rFonts w:ascii="Tahoma" w:hAnsi="Tahoma" w:cs="Tahoma"/>
          <w:b/>
          <w:bCs/>
          <w:sz w:val="18"/>
          <w:szCs w:val="18"/>
        </w:rPr>
        <w:t>komputer</w:t>
      </w:r>
      <w:r w:rsidR="00187AAF">
        <w:rPr>
          <w:rFonts w:ascii="Tahoma" w:hAnsi="Tahoma" w:cs="Tahoma"/>
          <w:b/>
          <w:bCs/>
          <w:sz w:val="18"/>
          <w:szCs w:val="18"/>
        </w:rPr>
        <w:t>a</w:t>
      </w:r>
      <w:r w:rsidR="00573F49">
        <w:rPr>
          <w:rFonts w:ascii="Tahoma" w:hAnsi="Tahoma" w:cs="Tahoma"/>
          <w:b/>
          <w:bCs/>
          <w:sz w:val="18"/>
          <w:szCs w:val="18"/>
        </w:rPr>
        <w:t xml:space="preserve"> stacjonarnego</w:t>
      </w:r>
      <w:r w:rsidR="00573F49" w:rsidRPr="003D29E3">
        <w:rPr>
          <w:rFonts w:ascii="Tahoma" w:hAnsi="Tahoma" w:cs="Tahoma"/>
          <w:b/>
          <w:bCs/>
          <w:sz w:val="18"/>
          <w:szCs w:val="18"/>
        </w:rPr>
        <w:t xml:space="preserve"> typu „serwer obliczeniowy</w:t>
      </w:r>
      <w:r w:rsidR="00573F49">
        <w:rPr>
          <w:rFonts w:ascii="Tahoma" w:hAnsi="Tahoma" w:cs="Tahoma"/>
          <w:b/>
          <w:bCs/>
          <w:sz w:val="18"/>
          <w:szCs w:val="18"/>
        </w:rPr>
        <w:t>”</w:t>
      </w:r>
    </w:p>
    <w:p w:rsidR="003D29E3" w:rsidRPr="00C71888" w:rsidRDefault="003D29E3" w:rsidP="003D29E3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:rsidR="003D29E3" w:rsidRDefault="003D29E3" w:rsidP="003D29E3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:rsidR="001A0929" w:rsidRPr="003D29E3" w:rsidRDefault="001A0929" w:rsidP="001A092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tbl>
      <w:tblPr>
        <w:tblW w:w="1265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53"/>
        <w:gridCol w:w="2256"/>
        <w:gridCol w:w="5103"/>
        <w:gridCol w:w="2988"/>
        <w:gridCol w:w="30"/>
      </w:tblGrid>
      <w:tr w:rsidR="001A0929" w:rsidRPr="003D29E3" w:rsidTr="0021650B">
        <w:trPr>
          <w:trHeight w:val="316"/>
          <w:jc w:val="center"/>
        </w:trPr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573F49" w:rsidP="002764CE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Komputer stacjonarny</w:t>
            </w: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typu „serwer obliczeniowy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”</w:t>
            </w:r>
          </w:p>
        </w:tc>
      </w:tr>
      <w:tr w:rsidR="001A0929" w:rsidRPr="003D29E3" w:rsidTr="0021650B">
        <w:trPr>
          <w:trHeight w:val="316"/>
          <w:jc w:val="center"/>
        </w:trPr>
        <w:tc>
          <w:tcPr>
            <w:tcW w:w="1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3D29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oraz podać wymagane informacje. </w:t>
            </w:r>
          </w:p>
        </w:tc>
      </w:tr>
      <w:tr w:rsidR="001A0929" w:rsidRPr="003D29E3" w:rsidTr="0021650B">
        <w:trPr>
          <w:gridAfter w:val="1"/>
          <w:wAfter w:w="30" w:type="dxa"/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1A0929" w:rsidRPr="003D29E3" w:rsidTr="0021650B">
        <w:trPr>
          <w:gridAfter w:val="1"/>
          <w:wAfter w:w="30" w:type="dxa"/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E3" w:rsidRPr="003D29E3" w:rsidRDefault="003D29E3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Zgodność elementu oferty z OPZ.</w:t>
            </w:r>
          </w:p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minimalne wymagane spełnia/nie spełnia* oraz podać wymagane informacje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Dwa identyczne procesory 64-bitowe o wysokiej wydajności do zastosowań serwerowych/stacji roboczych. Pamięć podręczna procesora (cache L3) minimum 128 MB. Architektura procesora przystosowana do skalowalności.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Model ………….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rdzeni fizycznych na każdy procesor: minimum 32 rdzenie na jeden procesor.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Wymagana technologia wielowątkowości: minimum po 2 wątki na 1 rdzeń; łącznie 64 wątków na jeden procesor.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Sumaryczna ilość rdzeni wszystkich procesorów co najmniej 64 i sumaryczna ilość wątków wszystkich procesorów co najmniej 128.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Sumaryczną ilość rdzeni…………</w:t>
            </w:r>
          </w:p>
          <w:p w:rsidR="009D5E6C" w:rsidRDefault="009D5E6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w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ątków ………….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D57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0" w:name="_Hlk107433812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Sumaryczna wydajności procesorów w teście </w:t>
            </w:r>
            <w:proofErr w:type="spellStart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  <w:r w:rsidR="00D57380"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104170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lub wyższy </w:t>
            </w:r>
            <w:hyperlink r:id="rId9" w:history="1">
              <w:r w:rsidR="00D66677" w:rsidRPr="003D29E3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https://www.cpubenchmark.net/CPU_mega_page.html</w:t>
              </w:r>
            </w:hyperlink>
            <w:r w:rsidR="00D66677"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 r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.</w:t>
            </w:r>
            <w:bookmarkEnd w:id="0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C" w:rsidRDefault="009D5E6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E92C31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="00E92C31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Serwer/stacja robocza.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Zapewniające optymalne warunki pracy przy pełnym obciążeniu zgodnie ze specyfikacją producenta procesora i płyty głównej.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D57380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="00D57380"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192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GB pamięci DDR5 z korekcją błędów o częstotliwości co najmniej 4800 MHz lub większej. Kompatybilna z zainstalowanym procesorem i płytą główną.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 …………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DF4FB2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</w:t>
            </w:r>
            <w:r w:rsidR="00DF4FB2" w:rsidRPr="00DF4FB2">
              <w:rPr>
                <w:rFonts w:ascii="Tahoma" w:hAnsi="Tahoma" w:cs="Tahoma"/>
                <w:b/>
                <w:color w:val="C00000"/>
                <w:sz w:val="18"/>
                <w:szCs w:val="18"/>
                <w:lang w:eastAsia="zh-CN"/>
              </w:rPr>
              <w:t>12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. Obsadzanie modułów pamięci optymalne dla danego procesora (maksymalna wydajność) zgodnie</w:t>
            </w:r>
            <w:bookmarkStart w:id="1" w:name="_GoBack"/>
            <w:bookmarkEnd w:id="1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z dokumentacją producentów płyt głównych i procesorów.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NVMe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900 GB.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70F9C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:</w:t>
            </w:r>
          </w:p>
          <w:p w:rsidR="00F70F9C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70F9C" w:rsidRPr="003D29E3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ojemność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HDD zapis magnetyczny.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SATA II szybkość transmisji co najmniej 6.0 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Gbit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/s.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6 TB każdy. Pamięć podręczna min. 256 MB.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70F9C" w:rsidRPr="003D29E3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ojemność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</w:t>
            </w:r>
          </w:p>
          <w:p w:rsidR="00F70F9C" w:rsidRPr="003D29E3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PCIe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w standardzie min. 5.0:  co najmniej 2 sztuk 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b) DIMM: co najmniej 16 szt. W tym przynajmniej 8 nie obsadzone.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c) SATA: co najmniej 4 szt. 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d) USB 3.0 lub 2.0: co najmniej 2 szt.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e) M.2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NVMe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f) RJ-45: min. 2 szt.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Model płyty głównej …………</w:t>
            </w:r>
          </w:p>
          <w:p w:rsidR="00F70F9C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1 TB pamięci RAM z obsługą korekcji błędów.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trike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Pozwalający wyświetlić obraz w rozdzielczości Full HD 1920x1200@60Hz 32bpp. Interfejs graficzny nie będzie używany do obliczeń numerycznych. 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5C6F4E" w:rsidRPr="003D29E3" w:rsidRDefault="005C6F4E" w:rsidP="005C6F4E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F70F9C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…………………………….</w:t>
            </w:r>
          </w:p>
          <w:p w:rsidR="00F70F9C" w:rsidRDefault="00F70F9C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F70F9C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………………………</w:t>
            </w:r>
          </w:p>
          <w:p w:rsidR="001A0929" w:rsidRPr="003D29E3" w:rsidRDefault="001A0929" w:rsidP="00F70F9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dwa kanały obsługujące transmisję 1000Base-T na Rj-45.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Obudowa typu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rack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maksymalnie 2U z szynami ruchomymi.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Zasilanie redunda</w:t>
            </w:r>
            <w:r w:rsidR="005C6F4E">
              <w:rPr>
                <w:rFonts w:ascii="Tahoma" w:hAnsi="Tahoma" w:cs="Tahoma"/>
                <w:sz w:val="18"/>
                <w:szCs w:val="18"/>
                <w:lang w:eastAsia="zh-CN"/>
              </w:rPr>
              <w:t>n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tne o mocy minimum 1600 W.</w:t>
            </w:r>
          </w:p>
          <w:p w:rsidR="001A0929" w:rsidRPr="003D29E3" w:rsidRDefault="001A0929" w:rsidP="0021650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Pracujące przy napięciu 230V.</w:t>
            </w:r>
          </w:p>
          <w:p w:rsidR="001A0929" w:rsidRPr="003D29E3" w:rsidRDefault="001A0929" w:rsidP="0021650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94% przy obciążeniu zasilacza na poziomie 50% oraz co najmniej 90% przy obciążeniu zasilacza na poziomie 100%.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9D5E6C" w:rsidRPr="003D29E3" w:rsidRDefault="009D5E6C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Moc …………………</w:t>
            </w:r>
          </w:p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Czas trwania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24 miesiące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70F9C" w:rsidRPr="003D29E3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70F9C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:rsidR="001A0929" w:rsidRPr="003D29E3" w:rsidRDefault="004E6948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Warunki świadczenia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F70F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715F1F" w:rsidRPr="003D29E3" w:rsidTr="00846214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F1F" w:rsidRPr="00E92C31" w:rsidRDefault="00715F1F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1F" w:rsidRPr="00E92C31" w:rsidRDefault="00715F1F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1F" w:rsidRPr="00E92C31" w:rsidRDefault="00715F1F" w:rsidP="00715F1F">
            <w:pPr>
              <w:rPr>
                <w:rFonts w:ascii="Tahoma" w:hAnsi="Tahoma" w:cs="Tahoma"/>
                <w:sz w:val="18"/>
                <w:szCs w:val="18"/>
              </w:rPr>
            </w:pPr>
            <w:r w:rsidRPr="00E92C31">
              <w:rPr>
                <w:rFonts w:ascii="Tahoma" w:hAnsi="Tahoma" w:cs="Tahoma"/>
                <w:sz w:val="18"/>
                <w:szCs w:val="18"/>
              </w:rPr>
              <w:t>Liczba sztuk komputera stacjonarnego typu „se</w:t>
            </w:r>
            <w:r w:rsidR="00E92C31">
              <w:rPr>
                <w:rFonts w:ascii="Tahoma" w:hAnsi="Tahoma" w:cs="Tahoma"/>
                <w:sz w:val="18"/>
                <w:szCs w:val="18"/>
              </w:rPr>
              <w:t>r</w:t>
            </w:r>
            <w:r w:rsidRPr="00E92C31">
              <w:rPr>
                <w:rFonts w:ascii="Tahoma" w:hAnsi="Tahoma" w:cs="Tahoma"/>
                <w:sz w:val="18"/>
                <w:szCs w:val="18"/>
              </w:rPr>
              <w:t xml:space="preserve">wer obliczeniowy”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1F" w:rsidRPr="00E92C31" w:rsidRDefault="00715F1F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sztuka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1F" w:rsidRPr="00E92C31" w:rsidRDefault="00715F1F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715F1F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F1F" w:rsidRPr="003D29E3" w:rsidRDefault="00715F1F" w:rsidP="0021650B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1F" w:rsidRPr="003D29E3" w:rsidRDefault="00715F1F" w:rsidP="00FE6F83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>W komórce poniżej (wiersz 28 tabeli) Wykonawca zobowiązany jest wpisać nazwę producenta oraz pełną nazwę (tj. obejmującą model i typ,</w:t>
            </w:r>
            <w:r w:rsidRPr="003D29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>nazwę handlową, jeśli takie atrybuty są stosowane do oferowanego przedmiotu) dla następujących elementów: komputera stanowiącego łącznie zestaw określany jako ”komputera stacjonarnego typu „serwer obliczeniowy” opisany parametrami określonymi w niniejszej tabeli.</w:t>
            </w:r>
          </w:p>
        </w:tc>
      </w:tr>
      <w:tr w:rsidR="00715F1F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F1F" w:rsidRPr="003D29E3" w:rsidRDefault="00715F1F" w:rsidP="0021650B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1F" w:rsidRPr="003D29E3" w:rsidRDefault="00715F1F" w:rsidP="002165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>Pełne nazwy oferowanych elementów komputera stacjonarnego typu „serwer obliczeniowy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” </w:t>
            </w:r>
          </w:p>
          <w:p w:rsidR="00715F1F" w:rsidRPr="003D29E3" w:rsidRDefault="00715F1F" w:rsidP="002165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a) komputer: ………………………………………………………….…………………………………..,</w:t>
            </w:r>
          </w:p>
          <w:p w:rsidR="00715F1F" w:rsidRPr="003D29E3" w:rsidRDefault="00715F1F" w:rsidP="002165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BC74CF" w:rsidRPr="003D29E3" w:rsidRDefault="00BC74CF">
      <w:pPr>
        <w:rPr>
          <w:rFonts w:ascii="Tahoma" w:hAnsi="Tahoma" w:cs="Tahoma"/>
          <w:sz w:val="18"/>
          <w:szCs w:val="18"/>
        </w:rPr>
      </w:pPr>
    </w:p>
    <w:sectPr w:rsidR="00BC74CF" w:rsidRPr="003D29E3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9"/>
    <w:rsid w:val="000D7E96"/>
    <w:rsid w:val="00122A88"/>
    <w:rsid w:val="00187AAF"/>
    <w:rsid w:val="001A0929"/>
    <w:rsid w:val="001C0504"/>
    <w:rsid w:val="002764CE"/>
    <w:rsid w:val="002A321A"/>
    <w:rsid w:val="003D29E3"/>
    <w:rsid w:val="004E6948"/>
    <w:rsid w:val="00573F49"/>
    <w:rsid w:val="005C6F4E"/>
    <w:rsid w:val="00715F1F"/>
    <w:rsid w:val="00877D3E"/>
    <w:rsid w:val="009D5E6C"/>
    <w:rsid w:val="00B13CF9"/>
    <w:rsid w:val="00BC74CF"/>
    <w:rsid w:val="00C848BA"/>
    <w:rsid w:val="00D57380"/>
    <w:rsid w:val="00D66677"/>
    <w:rsid w:val="00DF4FB2"/>
    <w:rsid w:val="00E82B00"/>
    <w:rsid w:val="00E92C31"/>
    <w:rsid w:val="00F70F9C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mega_pag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Iwanowski</dc:creator>
  <cp:lastModifiedBy>Mirosława Szewczyk</cp:lastModifiedBy>
  <cp:revision>2</cp:revision>
  <dcterms:created xsi:type="dcterms:W3CDTF">2024-01-12T13:52:00Z</dcterms:created>
  <dcterms:modified xsi:type="dcterms:W3CDTF">2024-01-12T13:52:00Z</dcterms:modified>
</cp:coreProperties>
</file>