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413E5BD6" w:rsidR="00281381" w:rsidRPr="00A258D6" w:rsidRDefault="0044546B" w:rsidP="00881111">
      <w:pPr>
        <w:spacing w:line="319" w:lineRule="auto"/>
        <w:jc w:val="center"/>
        <w:rPr>
          <w:rFonts w:asciiTheme="majorHAnsi" w:hAnsiTheme="majorHAnsi" w:cstheme="majorHAnsi"/>
          <w:b/>
        </w:rPr>
      </w:pPr>
      <w:r>
        <w:rPr>
          <w:rFonts w:asciiTheme="majorHAnsi" w:hAnsiTheme="majorHAnsi" w:cstheme="majorHAnsi"/>
          <w:b/>
        </w:rPr>
        <w:t>„</w:t>
      </w:r>
      <w:r w:rsidR="00A64BFE">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A258D6" w:rsidRDefault="00FC4AB9" w:rsidP="00881111">
      <w:pPr>
        <w:spacing w:line="319" w:lineRule="auto"/>
        <w:jc w:val="center"/>
        <w:rPr>
          <w:rFonts w:asciiTheme="majorHAnsi" w:hAnsiTheme="majorHAnsi" w:cstheme="majorHAnsi"/>
          <w:bCs/>
        </w:rPr>
      </w:pPr>
      <w:r w:rsidRPr="00A258D6">
        <w:rPr>
          <w:rFonts w:asciiTheme="majorHAnsi" w:hAnsiTheme="majorHAnsi" w:cstheme="majorHAnsi"/>
          <w:bCs/>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77777777"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A258D6">
        <w:rPr>
          <w:rFonts w:asciiTheme="majorHAnsi" w:hAnsiTheme="majorHAnsi" w:cstheme="majorHAnsi"/>
        </w:rPr>
        <w:t>ustawy z 11 września 2019 r. - Prawo zamówień publicznych (Dz. U. z 2019 r. poz. 2019 ze zm.)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42F672C0" w14:textId="77777777" w:rsidR="00EF6664" w:rsidRPr="00EF6664" w:rsidRDefault="00EF6664" w:rsidP="00EF6664">
      <w:pPr>
        <w:spacing w:line="240" w:lineRule="auto"/>
        <w:jc w:val="center"/>
        <w:rPr>
          <w:rFonts w:asciiTheme="majorHAnsi" w:eastAsia="Times New Roman" w:hAnsiTheme="majorHAnsi" w:cstheme="minorHAnsi"/>
          <w:b/>
          <w:lang w:eastAsia="zh-CN"/>
        </w:rPr>
      </w:pPr>
      <w:bookmarkStart w:id="1" w:name="_Hlk24623380"/>
      <w:bookmarkStart w:id="2" w:name="_Hlk75333090"/>
      <w:r w:rsidRPr="00EF6664">
        <w:rPr>
          <w:rFonts w:asciiTheme="majorHAnsi" w:eastAsia="Times New Roman" w:hAnsiTheme="majorHAnsi" w:cstheme="minorHAnsi"/>
          <w:b/>
        </w:rPr>
        <w:t>„</w:t>
      </w:r>
      <w:bookmarkEnd w:id="1"/>
      <w:r w:rsidRPr="00EF6664">
        <w:rPr>
          <w:rFonts w:asciiTheme="majorHAnsi" w:eastAsia="Calibri" w:hAnsiTheme="majorHAnsi" w:cstheme="minorHAnsi"/>
          <w:b/>
          <w:bCs/>
          <w:kern w:val="3"/>
        </w:rPr>
        <w:t>Remont pokrycia dachowego z papy wraz z robotami towarzyszącymi dachu SP w Dąbrówce”</w:t>
      </w:r>
    </w:p>
    <w:bookmarkEnd w:id="2"/>
    <w:p w14:paraId="0000000F" w14:textId="028B6A2C" w:rsidR="001C5D72" w:rsidRPr="0039496C" w:rsidRDefault="001C5D72" w:rsidP="00B605D3">
      <w:pPr>
        <w:spacing w:line="319" w:lineRule="auto"/>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3"/>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3FF98A80"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EF6664">
        <w:rPr>
          <w:rFonts w:asciiTheme="majorHAnsi" w:hAnsiTheme="majorHAnsi" w:cstheme="majorHAnsi"/>
          <w:b/>
          <w:bCs/>
        </w:rPr>
        <w:t>8</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6B1A052B" w:rsidR="008664B0" w:rsidRDefault="008664B0"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1007AF84" w14:textId="11E50969" w:rsidR="00EF6664" w:rsidRDefault="00EF6664" w:rsidP="00881111">
      <w:pPr>
        <w:spacing w:line="319" w:lineRule="auto"/>
        <w:rPr>
          <w:rFonts w:asciiTheme="majorHAnsi" w:eastAsia="Times New Roman" w:hAnsiTheme="majorHAnsi" w:cstheme="majorHAnsi"/>
          <w:b/>
        </w:rPr>
      </w:pPr>
    </w:p>
    <w:p w14:paraId="1AA6CC4D" w14:textId="7DCAFAC7" w:rsidR="00EF6664" w:rsidRDefault="00EF6664" w:rsidP="00881111">
      <w:pPr>
        <w:spacing w:line="319" w:lineRule="auto"/>
        <w:rPr>
          <w:rFonts w:asciiTheme="majorHAnsi" w:eastAsia="Times New Roman" w:hAnsiTheme="majorHAnsi" w:cstheme="majorHAnsi"/>
          <w:b/>
        </w:rPr>
      </w:pPr>
    </w:p>
    <w:p w14:paraId="6F03961B" w14:textId="77A286B6" w:rsidR="00EF6664" w:rsidRDefault="00EF6664" w:rsidP="00881111">
      <w:pPr>
        <w:spacing w:line="319" w:lineRule="auto"/>
        <w:rPr>
          <w:rFonts w:asciiTheme="majorHAnsi" w:eastAsia="Times New Roman" w:hAnsiTheme="majorHAnsi" w:cstheme="majorHAnsi"/>
          <w:b/>
        </w:rPr>
      </w:pPr>
    </w:p>
    <w:p w14:paraId="3116EC87" w14:textId="577CCCFC" w:rsidR="00EF6664" w:rsidRDefault="00EF6664" w:rsidP="00881111">
      <w:pPr>
        <w:spacing w:line="319" w:lineRule="auto"/>
        <w:rPr>
          <w:rFonts w:asciiTheme="majorHAnsi" w:eastAsia="Times New Roman" w:hAnsiTheme="majorHAnsi" w:cstheme="majorHAnsi"/>
          <w:b/>
        </w:rPr>
      </w:pPr>
    </w:p>
    <w:p w14:paraId="69D0C67F" w14:textId="77777777"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0141180A"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2021.0</w:t>
      </w:r>
      <w:r w:rsidR="00EF6664">
        <w:rPr>
          <w:rFonts w:asciiTheme="majorHAnsi" w:eastAsia="Times New Roman" w:hAnsiTheme="majorHAnsi" w:cstheme="majorHAnsi"/>
          <w:b/>
          <w:bCs/>
        </w:rPr>
        <w:t>6</w:t>
      </w:r>
      <w:r w:rsidRPr="00A258D6">
        <w:rPr>
          <w:rFonts w:asciiTheme="majorHAnsi" w:eastAsia="Times New Roman" w:hAnsiTheme="majorHAnsi" w:cstheme="majorHAnsi"/>
          <w:b/>
          <w:bCs/>
        </w:rPr>
        <w:t>.</w:t>
      </w:r>
      <w:r w:rsidR="00EF6664">
        <w:rPr>
          <w:rFonts w:asciiTheme="majorHAnsi" w:eastAsia="Times New Roman" w:hAnsiTheme="majorHAnsi" w:cstheme="majorHAnsi"/>
          <w:b/>
          <w:bCs/>
        </w:rPr>
        <w:t>2</w:t>
      </w:r>
      <w:r w:rsidR="00C72BF4">
        <w:rPr>
          <w:rFonts w:asciiTheme="majorHAnsi" w:eastAsia="Times New Roman" w:hAnsiTheme="majorHAnsi" w:cstheme="majorHAnsi"/>
          <w:b/>
          <w:bCs/>
        </w:rPr>
        <w:t>3</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437BB991"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4120F9C5" w:rsidR="003A3FBD" w:rsidRPr="00A258D6" w:rsidRDefault="006A0AC3">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03C0FD90" w:rsidR="003A3FBD" w:rsidRPr="00A258D6" w:rsidRDefault="006A0AC3">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3DA0C53F" w:rsidR="003A3FBD" w:rsidRPr="00A258D6" w:rsidRDefault="006A0AC3"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6</w:t>
            </w:r>
            <w:r w:rsidR="003A3FBD" w:rsidRPr="00A258D6">
              <w:rPr>
                <w:rFonts w:asciiTheme="majorHAnsi" w:hAnsiTheme="majorHAnsi" w:cstheme="majorHAnsi"/>
                <w:noProof/>
                <w:webHidden/>
              </w:rPr>
              <w:fldChar w:fldCharType="end"/>
            </w:r>
          </w:hyperlink>
        </w:p>
        <w:p w14:paraId="57B3FDD5" w14:textId="4DF26262" w:rsidR="003A3FBD" w:rsidRPr="00A258D6" w:rsidRDefault="006A0AC3">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501D20B4" w:rsidR="003A3FBD" w:rsidRPr="00A258D6" w:rsidRDefault="006A0AC3">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2899F8E7" w:rsidR="003A3FBD" w:rsidRPr="00A258D6" w:rsidRDefault="006A0AC3">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17FD45F8" w:rsidR="003A3FBD" w:rsidRPr="00A258D6" w:rsidRDefault="006A0AC3">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2F2230FD" w:rsidR="003A3FBD" w:rsidRPr="00A258D6" w:rsidRDefault="006A0AC3">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140AE77A" w:rsidR="003A3FBD" w:rsidRPr="00A258D6" w:rsidRDefault="006A0AC3">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3B499847" w14:textId="33B45028" w:rsidR="003A3FBD" w:rsidRPr="00A258D6" w:rsidRDefault="006A0AC3">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12</w:t>
            </w:r>
            <w:r w:rsidR="003A3FBD" w:rsidRPr="00A258D6">
              <w:rPr>
                <w:rFonts w:asciiTheme="majorHAnsi" w:hAnsiTheme="majorHAnsi" w:cstheme="majorHAnsi"/>
                <w:noProof/>
                <w:webHidden/>
              </w:rPr>
              <w:fldChar w:fldCharType="end"/>
            </w:r>
          </w:hyperlink>
        </w:p>
        <w:p w14:paraId="1163B795" w14:textId="24FC9DCF" w:rsidR="003A3FBD" w:rsidRPr="00A258D6" w:rsidRDefault="006A0AC3">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39869629" w14:textId="2571E1C2" w:rsidR="003A3FBD" w:rsidRPr="00A258D6" w:rsidRDefault="006A0AC3">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7B3B8439" w14:textId="074ED34B" w:rsidR="003A3FBD" w:rsidRPr="00A258D6" w:rsidRDefault="006A0AC3">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17</w:t>
            </w:r>
            <w:r w:rsidR="003A3FBD" w:rsidRPr="00A258D6">
              <w:rPr>
                <w:rFonts w:asciiTheme="majorHAnsi" w:hAnsiTheme="majorHAnsi" w:cstheme="majorHAnsi"/>
                <w:noProof/>
                <w:webHidden/>
              </w:rPr>
              <w:fldChar w:fldCharType="end"/>
            </w:r>
          </w:hyperlink>
        </w:p>
        <w:p w14:paraId="354C7D0A" w14:textId="5A6F099A" w:rsidR="003A3FBD" w:rsidRPr="00A258D6" w:rsidRDefault="006A0AC3">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5265A5B3" w14:textId="7D7B6339" w:rsidR="003A3FBD" w:rsidRPr="00A258D6" w:rsidRDefault="006A0AC3">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20929F4B" w14:textId="1FE99438" w:rsidR="003A3FBD" w:rsidRPr="00A258D6" w:rsidRDefault="006A0AC3">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33F5BCDD" w14:textId="04EDCAA8" w:rsidR="003A3FBD" w:rsidRPr="00A258D6" w:rsidRDefault="006A0AC3">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755B4219" w14:textId="3C008F7E" w:rsidR="003A3FBD" w:rsidRPr="00A258D6" w:rsidRDefault="006A0AC3">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4903B4CA" w14:textId="5FD2CCD7" w:rsidR="003A3FBD" w:rsidRPr="00A258D6" w:rsidRDefault="006A0AC3">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2E3B7F07" w14:textId="3C512D4B" w:rsidR="003A3FBD" w:rsidRPr="00A258D6" w:rsidRDefault="006A0AC3">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3B84FA9F" w14:textId="62B1535A" w:rsidR="003A3FBD" w:rsidRPr="00A258D6" w:rsidRDefault="006A0AC3">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778F7FBF" w14:textId="3513D31C" w:rsidR="003A3FBD" w:rsidRPr="00A258D6" w:rsidRDefault="006A0AC3">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5724C85B" w14:textId="327B617D" w:rsidR="003A3FBD" w:rsidRPr="00A258D6" w:rsidRDefault="006A0AC3">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39274292" w14:textId="3E5D7098" w:rsidR="003A3FBD" w:rsidRPr="00A258D6" w:rsidRDefault="006A0AC3">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7151D8">
              <w:rPr>
                <w:rFonts w:asciiTheme="majorHAnsi" w:hAnsiTheme="majorHAnsi" w:cstheme="majorHAnsi"/>
                <w:noProof/>
                <w:webHidden/>
              </w:rPr>
              <w:t>29</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6A0AC3" w:rsidP="00096CC1">
          <w:pPr>
            <w:tabs>
              <w:tab w:val="right" w:pos="9025"/>
            </w:tabs>
            <w:spacing w:line="319" w:lineRule="auto"/>
            <w:rPr>
              <w:rFonts w:asciiTheme="majorHAnsi" w:hAnsiTheme="majorHAnsi" w:cstheme="majorHAnsi"/>
              <w:b/>
              <w:color w:val="000000"/>
            </w:rPr>
          </w:pPr>
        </w:p>
      </w:sdtContent>
    </w:sdt>
    <w:bookmarkStart w:id="4"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4"/>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5"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5"/>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6" w:name="_Toc65495844"/>
      <w:r w:rsidRPr="0039496C">
        <w:rPr>
          <w:rFonts w:asciiTheme="majorHAnsi" w:hAnsiTheme="majorHAnsi" w:cstheme="majorHAnsi"/>
          <w:b/>
          <w:bCs/>
          <w:sz w:val="24"/>
          <w:szCs w:val="24"/>
        </w:rPr>
        <w:t>II. Ochrona danych osobowych</w:t>
      </w:r>
      <w:bookmarkEnd w:id="6"/>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0CFF70A3"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p>
    <w:p w14:paraId="00000053"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7" w:name="_Toc65495845"/>
      <w:r w:rsidRPr="0039496C">
        <w:rPr>
          <w:rFonts w:asciiTheme="majorHAnsi" w:hAnsiTheme="majorHAnsi" w:cstheme="majorHAnsi"/>
          <w:b/>
          <w:bCs/>
          <w:sz w:val="24"/>
          <w:szCs w:val="24"/>
        </w:rPr>
        <w:t>III. Tryb udzielania zamówienia</w:t>
      </w:r>
      <w:bookmarkEnd w:id="7"/>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A4C58EE" w:rsidR="001C5D72" w:rsidRPr="00A258D6"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wszystkie prace fizyczne opisane przedmiarem robót</w:t>
      </w:r>
      <w:r w:rsidR="00091CFF" w:rsidRPr="00A258D6">
        <w:rPr>
          <w:rFonts w:asciiTheme="majorHAnsi" w:hAnsiTheme="majorHAnsi" w:cstheme="majorHAnsi"/>
        </w:rPr>
        <w:t>,</w:t>
      </w:r>
      <w:r w:rsidR="00CC35D3">
        <w:rPr>
          <w:rFonts w:asciiTheme="majorHAnsi" w:hAnsiTheme="majorHAnsi" w:cstheme="majorHAnsi"/>
        </w:rPr>
        <w:t xml:space="preserve"> służące wykonaniu robót budowlanych,</w:t>
      </w:r>
    </w:p>
    <w:p w14:paraId="0000006D" w14:textId="2FF48669" w:rsidR="001C5D72"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czynności wykonywane przez pracowników niższego szczebla technicznego i organizacyjnego procesu budowlanego</w:t>
      </w:r>
      <w:r w:rsidR="00450C8E" w:rsidRPr="00A258D6">
        <w:rPr>
          <w:rFonts w:asciiTheme="majorHAnsi" w:hAnsiTheme="majorHAnsi" w:cstheme="majorHAnsi"/>
        </w:rPr>
        <w:t>.</w:t>
      </w:r>
    </w:p>
    <w:p w14:paraId="52D53FB6" w14:textId="7015898F" w:rsidR="00CC35D3" w:rsidRPr="00CC35D3" w:rsidRDefault="00CC35D3" w:rsidP="00CC35D3">
      <w:pPr>
        <w:tabs>
          <w:tab w:val="left" w:pos="1440"/>
        </w:tabs>
        <w:suppressAutoHyphens/>
        <w:spacing w:line="319" w:lineRule="auto"/>
        <w:ind w:left="426"/>
        <w:contextualSpacing/>
        <w:jc w:val="both"/>
        <w:rPr>
          <w:rFonts w:asciiTheme="minorHAnsi" w:eastAsia="Times New Roman" w:hAnsiTheme="minorHAnsi" w:cstheme="minorHAnsi"/>
          <w:i/>
        </w:rPr>
      </w:pPr>
      <w:r w:rsidRPr="001666CB">
        <w:rPr>
          <w:rFonts w:asciiTheme="minorHAnsi" w:eastAsia="Times New Roman" w:hAnsiTheme="minorHAnsi" w:cstheme="minorHAnsi"/>
        </w:rPr>
        <w:t xml:space="preserve">Obowiązek, o którym mowa w zdaniu poprzednim nie dotyczy osób pełniących samodzielne funkcje techniczne w budownictwie w rozumieniu ustawy z dnia 7 lipca 1994r. Prawo budowlane. </w:t>
      </w:r>
    </w:p>
    <w:p w14:paraId="718FBDC0" w14:textId="1EB5DA74" w:rsidR="00C41890"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Szczegółowe wymagania dotyczące realizacji oraz egzekwowania wymogu zatrudnienia na podstawie stosunku pracy zostały określone </w:t>
      </w:r>
      <w:r w:rsidR="00FF191E" w:rsidRPr="00A258D6">
        <w:rPr>
          <w:rFonts w:asciiTheme="majorHAnsi" w:hAnsiTheme="majorHAnsi" w:cstheme="majorHAnsi"/>
        </w:rPr>
        <w:t>w projekcie umowy</w:t>
      </w:r>
      <w:r w:rsidRPr="00A258D6">
        <w:rPr>
          <w:rFonts w:asciiTheme="majorHAnsi" w:hAnsiTheme="majorHAnsi" w:cstheme="majorHAnsi"/>
        </w:rPr>
        <w:t>, stanowiącym</w:t>
      </w:r>
      <w:r w:rsidR="006116B3" w:rsidRPr="00A258D6">
        <w:rPr>
          <w:rFonts w:asciiTheme="majorHAnsi" w:hAnsiTheme="majorHAnsi" w:cstheme="majorHAnsi"/>
        </w:rPr>
        <w:t xml:space="preserve"> </w:t>
      </w:r>
      <w:r w:rsidR="009A4AE7" w:rsidRPr="00A258D6">
        <w:rPr>
          <w:rFonts w:asciiTheme="majorHAnsi" w:hAnsiTheme="majorHAnsi" w:cstheme="majorHAnsi"/>
        </w:rPr>
        <w:t xml:space="preserve">załącznik nr </w:t>
      </w:r>
      <w:r w:rsidR="006116B3" w:rsidRPr="00A258D6">
        <w:rPr>
          <w:rFonts w:asciiTheme="majorHAnsi" w:hAnsiTheme="majorHAnsi" w:cstheme="majorHAnsi"/>
        </w:rPr>
        <w:t>2</w:t>
      </w:r>
      <w:r w:rsidR="00C41890" w:rsidRPr="00A258D6">
        <w:rPr>
          <w:rFonts w:asciiTheme="majorHAnsi" w:hAnsiTheme="majorHAnsi" w:cstheme="majorHAnsi"/>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8" w:name="_Toc65495846"/>
      <w:bookmarkStart w:id="9" w:name="_Hlk66787009"/>
      <w:r w:rsidRPr="0039496C">
        <w:rPr>
          <w:rFonts w:asciiTheme="majorHAnsi" w:hAnsiTheme="majorHAnsi" w:cstheme="majorHAnsi"/>
          <w:b/>
          <w:bCs/>
          <w:sz w:val="24"/>
          <w:szCs w:val="24"/>
        </w:rPr>
        <w:lastRenderedPageBreak/>
        <w:t>IV. Opis przedmiotu zamówienia</w:t>
      </w:r>
      <w:bookmarkEnd w:id="8"/>
    </w:p>
    <w:p w14:paraId="01C912F8" w14:textId="64202427" w:rsidR="0008203E" w:rsidRPr="00EF6664" w:rsidRDefault="00091CFF" w:rsidP="00EF6664">
      <w:pPr>
        <w:numPr>
          <w:ilvl w:val="0"/>
          <w:numId w:val="1"/>
        </w:numPr>
        <w:spacing w:line="319" w:lineRule="auto"/>
        <w:ind w:left="434"/>
        <w:jc w:val="both"/>
        <w:rPr>
          <w:rFonts w:asciiTheme="majorHAnsi" w:hAnsiTheme="majorHAnsi" w:cstheme="majorHAnsi"/>
          <w:color w:val="000000"/>
          <w:kern w:val="3"/>
        </w:rPr>
      </w:pPr>
      <w:r w:rsidRPr="0008203E">
        <w:rPr>
          <w:rFonts w:asciiTheme="majorHAnsi" w:hAnsiTheme="majorHAnsi" w:cstheme="majorHAnsi"/>
        </w:rPr>
        <w:t>Przedmiotem zamówienia jest</w:t>
      </w:r>
      <w:r w:rsidR="00AD6FE1">
        <w:rPr>
          <w:rFonts w:asciiTheme="majorHAnsi" w:hAnsiTheme="majorHAnsi" w:cstheme="majorHAnsi"/>
        </w:rPr>
        <w:t xml:space="preserve"> </w:t>
      </w:r>
      <w:r w:rsidR="00EF6664">
        <w:rPr>
          <w:rFonts w:asciiTheme="majorHAnsi" w:hAnsiTheme="majorHAnsi" w:cstheme="majorHAnsi"/>
        </w:rPr>
        <w:t xml:space="preserve">remont dachu polegający na wykonaniu pokrycia dachowego jednowarstwowego z papy – papa wierzchniego krycia, aktywowana termicznie, z funkcją wyrównania ciśnień wraz z robotami towarzyszącymi na dachu budynku szkoły podstawowej w Dąbrówce, realizowany w ramach zadania pn. </w:t>
      </w:r>
      <w:r w:rsidR="0044546B">
        <w:rPr>
          <w:rFonts w:asciiTheme="majorHAnsi" w:hAnsiTheme="majorHAnsi" w:cstheme="majorHAnsi"/>
        </w:rPr>
        <w:t>„</w:t>
      </w:r>
      <w:r w:rsidR="00EF6664">
        <w:rPr>
          <w:rFonts w:asciiTheme="majorHAnsi" w:hAnsiTheme="majorHAnsi" w:cstheme="majorHAnsi"/>
        </w:rPr>
        <w:t>Remont pokrycia dachowego z papy wraz z robotami towarzyszącymi dachu SP w Dąbrówce”.</w:t>
      </w:r>
    </w:p>
    <w:p w14:paraId="4BFC561D" w14:textId="6399916A" w:rsidR="00EF6664" w:rsidRPr="009B7036" w:rsidRDefault="00EF6664" w:rsidP="00EF6664">
      <w:pPr>
        <w:spacing w:line="319" w:lineRule="auto"/>
        <w:ind w:left="434"/>
        <w:jc w:val="both"/>
        <w:rPr>
          <w:rFonts w:asciiTheme="majorHAnsi" w:hAnsiTheme="majorHAnsi" w:cstheme="majorHAnsi"/>
          <w:kern w:val="3"/>
        </w:rPr>
      </w:pPr>
      <w:r w:rsidRPr="009B7036">
        <w:rPr>
          <w:rFonts w:asciiTheme="majorHAnsi" w:hAnsiTheme="majorHAnsi" w:cstheme="majorHAnsi"/>
        </w:rPr>
        <w:t xml:space="preserve">Powierzchnia remontowanego dachu: </w:t>
      </w:r>
      <w:r w:rsidR="003E7265" w:rsidRPr="009B7036">
        <w:rPr>
          <w:rFonts w:asciiTheme="majorHAnsi" w:hAnsiTheme="majorHAnsi" w:cstheme="majorHAnsi"/>
        </w:rPr>
        <w:t>3.455,56 m2</w:t>
      </w:r>
    </w:p>
    <w:p w14:paraId="55FCC132" w14:textId="22EAFA2D" w:rsidR="00D012B4" w:rsidRPr="004D51CB" w:rsidRDefault="00D012B4" w:rsidP="00D012B4">
      <w:pPr>
        <w:numPr>
          <w:ilvl w:val="0"/>
          <w:numId w:val="1"/>
        </w:numPr>
        <w:spacing w:line="319" w:lineRule="auto"/>
        <w:ind w:left="434"/>
        <w:jc w:val="both"/>
        <w:rPr>
          <w:rFonts w:asciiTheme="majorHAnsi" w:hAnsiTheme="majorHAnsi" w:cstheme="majorHAnsi"/>
          <w:color w:val="000000"/>
          <w:kern w:val="3"/>
        </w:rPr>
      </w:pPr>
      <w:r w:rsidRPr="00D012B4">
        <w:rPr>
          <w:rFonts w:asciiTheme="majorHAnsi" w:eastAsia="Times New Roman" w:hAnsiTheme="majorHAnsi" w:cstheme="majorHAnsi"/>
          <w:b/>
        </w:rPr>
        <w:t xml:space="preserve">Wspólny Słownik Zamówień (CPV):  </w:t>
      </w:r>
    </w:p>
    <w:p w14:paraId="79AA1437" w14:textId="70D5E79A" w:rsidR="00326F74" w:rsidRDefault="003E7265" w:rsidP="003E7265">
      <w:pPr>
        <w:pStyle w:val="Akapitzlist"/>
        <w:numPr>
          <w:ilvl w:val="0"/>
          <w:numId w:val="39"/>
        </w:numPr>
        <w:spacing w:line="319" w:lineRule="auto"/>
        <w:jc w:val="both"/>
        <w:rPr>
          <w:rFonts w:asciiTheme="majorHAnsi" w:eastAsia="Times New Roman" w:hAnsiTheme="majorHAnsi" w:cstheme="majorHAnsi"/>
          <w:b/>
        </w:rPr>
      </w:pPr>
      <w:r w:rsidRPr="003E7265">
        <w:rPr>
          <w:rFonts w:asciiTheme="majorHAnsi" w:eastAsia="Times New Roman" w:hAnsiTheme="majorHAnsi" w:cstheme="majorHAnsi"/>
          <w:b/>
        </w:rPr>
        <w:t>454530007 Roboty remontowe i renowacyjne</w:t>
      </w:r>
      <w:r>
        <w:rPr>
          <w:rFonts w:asciiTheme="majorHAnsi" w:eastAsia="Times New Roman" w:hAnsiTheme="majorHAnsi" w:cstheme="majorHAnsi"/>
          <w:b/>
        </w:rPr>
        <w:t>,</w:t>
      </w:r>
    </w:p>
    <w:p w14:paraId="73BD0814" w14:textId="2F21A0DD" w:rsidR="003E7265" w:rsidRPr="003E7265" w:rsidRDefault="003E7265" w:rsidP="003E7265">
      <w:pPr>
        <w:pStyle w:val="Akapitzlist"/>
        <w:numPr>
          <w:ilvl w:val="0"/>
          <w:numId w:val="39"/>
        </w:numPr>
        <w:spacing w:line="319" w:lineRule="auto"/>
        <w:jc w:val="both"/>
        <w:rPr>
          <w:rFonts w:asciiTheme="majorHAnsi" w:eastAsia="Times New Roman" w:hAnsiTheme="majorHAnsi" w:cstheme="majorHAnsi"/>
          <w:b/>
        </w:rPr>
      </w:pPr>
      <w:r>
        <w:rPr>
          <w:rFonts w:asciiTheme="majorHAnsi" w:eastAsia="Times New Roman" w:hAnsiTheme="majorHAnsi" w:cstheme="majorHAnsi"/>
          <w:b/>
        </w:rPr>
        <w:t>45260007 Roboty w zakresie wykonywania pokryć i konstrukcji dachowych i inne roboty specjalistyczne.</w:t>
      </w:r>
    </w:p>
    <w:p w14:paraId="2ED8B523" w14:textId="77777777" w:rsidR="009B7036" w:rsidRPr="009B7036" w:rsidRDefault="00326F74" w:rsidP="009B7036">
      <w:pPr>
        <w:pStyle w:val="Akapitzlist"/>
        <w:numPr>
          <w:ilvl w:val="0"/>
          <w:numId w:val="1"/>
        </w:numPr>
        <w:tabs>
          <w:tab w:val="left" w:pos="426"/>
        </w:tabs>
        <w:spacing w:after="0" w:line="319" w:lineRule="auto"/>
        <w:ind w:left="0" w:firstLine="0"/>
        <w:jc w:val="both"/>
        <w:rPr>
          <w:rFonts w:asciiTheme="majorHAnsi" w:eastAsia="Times New Roman" w:hAnsiTheme="majorHAnsi"/>
          <w:szCs w:val="24"/>
        </w:rPr>
      </w:pPr>
      <w:r w:rsidRPr="009B7036">
        <w:rPr>
          <w:rFonts w:asciiTheme="majorHAnsi" w:eastAsia="Times New Roman" w:hAnsiTheme="majorHAnsi"/>
          <w:szCs w:val="24"/>
        </w:rPr>
        <w:t xml:space="preserve">Zamawiający wymaga, aby przedmiot zamówienia był objęty minimum </w:t>
      </w:r>
      <w:r w:rsidR="003E7265" w:rsidRPr="009B7036">
        <w:rPr>
          <w:rFonts w:asciiTheme="majorHAnsi" w:eastAsia="Times New Roman" w:hAnsiTheme="majorHAnsi"/>
          <w:b/>
          <w:szCs w:val="24"/>
        </w:rPr>
        <w:t>36</w:t>
      </w:r>
      <w:r w:rsidRPr="009B7036">
        <w:rPr>
          <w:rFonts w:asciiTheme="majorHAnsi" w:eastAsia="Times New Roman" w:hAnsiTheme="majorHAnsi"/>
          <w:b/>
          <w:szCs w:val="24"/>
        </w:rPr>
        <w:t xml:space="preserve"> miesięcznym</w:t>
      </w:r>
      <w:r w:rsidRPr="009B7036">
        <w:rPr>
          <w:rFonts w:asciiTheme="majorHAnsi" w:eastAsia="Times New Roman" w:hAnsiTheme="majorHAnsi"/>
          <w:szCs w:val="24"/>
        </w:rPr>
        <w:t xml:space="preserve"> </w:t>
      </w:r>
      <w:r w:rsidRPr="009B7036">
        <w:rPr>
          <w:rFonts w:asciiTheme="majorHAnsi" w:eastAsia="Times New Roman" w:hAnsiTheme="majorHAnsi"/>
          <w:b/>
          <w:szCs w:val="24"/>
        </w:rPr>
        <w:t xml:space="preserve">okresem gwarancji oraz </w:t>
      </w:r>
      <w:r w:rsidR="003E7265" w:rsidRPr="009B7036">
        <w:rPr>
          <w:rFonts w:asciiTheme="majorHAnsi" w:eastAsia="Times New Roman" w:hAnsiTheme="majorHAnsi"/>
          <w:b/>
          <w:szCs w:val="24"/>
        </w:rPr>
        <w:t>36</w:t>
      </w:r>
      <w:r w:rsidRPr="009B7036">
        <w:rPr>
          <w:rFonts w:asciiTheme="majorHAnsi" w:eastAsia="Times New Roman" w:hAnsiTheme="majorHAnsi"/>
          <w:b/>
          <w:szCs w:val="24"/>
        </w:rPr>
        <w:t xml:space="preserve"> miesięcznym okresem rękojmi</w:t>
      </w:r>
      <w:r w:rsidRPr="009B7036">
        <w:rPr>
          <w:rFonts w:asciiTheme="majorHAnsi" w:eastAsia="Times New Roman" w:hAnsiTheme="majorHAnsi"/>
          <w:szCs w:val="24"/>
        </w:rPr>
        <w:t xml:space="preserve">. W przypadku wydłużenia okresu gwarancji jednoczesnemu wydłużeniu ulega </w:t>
      </w:r>
      <w:r w:rsidRPr="009B7036">
        <w:rPr>
          <w:rFonts w:asciiTheme="majorHAnsi" w:eastAsia="Times New Roman" w:hAnsiTheme="majorHAnsi"/>
          <w:b/>
          <w:szCs w:val="24"/>
        </w:rPr>
        <w:t>okres rękojmi.</w:t>
      </w:r>
      <w:r w:rsidRPr="009B7036">
        <w:rPr>
          <w:rFonts w:asciiTheme="majorHAnsi" w:eastAsia="Times New Roman" w:hAnsiTheme="majorHAnsi"/>
          <w:szCs w:val="24"/>
        </w:rPr>
        <w:t xml:space="preserve"> </w:t>
      </w:r>
    </w:p>
    <w:p w14:paraId="0BD3CC92" w14:textId="5A0FE533" w:rsidR="003E7265" w:rsidRPr="009B7036" w:rsidRDefault="00326F74" w:rsidP="009B7036">
      <w:pPr>
        <w:pStyle w:val="Akapitzlist"/>
        <w:tabs>
          <w:tab w:val="left" w:pos="426"/>
        </w:tabs>
        <w:spacing w:after="0" w:line="319" w:lineRule="auto"/>
        <w:ind w:left="0"/>
        <w:jc w:val="both"/>
        <w:rPr>
          <w:rFonts w:asciiTheme="majorHAnsi" w:eastAsia="Times New Roman" w:hAnsiTheme="majorHAnsi"/>
          <w:szCs w:val="24"/>
        </w:rPr>
      </w:pPr>
      <w:r w:rsidRPr="009B7036">
        <w:rPr>
          <w:rFonts w:asciiTheme="majorHAnsi" w:eastAsia="Times New Roman" w:hAnsiTheme="majorHAnsi"/>
          <w:szCs w:val="24"/>
        </w:rPr>
        <w:t xml:space="preserve">Maksymalny okres gwarancji i rękojmi zaoferowany przez Wykonawcę, może wynosić </w:t>
      </w:r>
      <w:r w:rsidR="003E7265" w:rsidRPr="009B7036">
        <w:rPr>
          <w:rFonts w:asciiTheme="majorHAnsi" w:eastAsia="Times New Roman" w:hAnsiTheme="majorHAnsi"/>
          <w:b/>
          <w:bCs/>
          <w:szCs w:val="24"/>
        </w:rPr>
        <w:t>60</w:t>
      </w:r>
      <w:r w:rsidRPr="009B7036">
        <w:rPr>
          <w:rFonts w:asciiTheme="majorHAnsi" w:eastAsia="Times New Roman" w:hAnsiTheme="majorHAnsi"/>
          <w:b/>
          <w:bCs/>
          <w:szCs w:val="24"/>
        </w:rPr>
        <w:t xml:space="preserve"> miesi</w:t>
      </w:r>
      <w:r w:rsidR="003E7265" w:rsidRPr="009B7036">
        <w:rPr>
          <w:rFonts w:asciiTheme="majorHAnsi" w:eastAsia="Times New Roman" w:hAnsiTheme="majorHAnsi"/>
          <w:b/>
          <w:bCs/>
          <w:szCs w:val="24"/>
        </w:rPr>
        <w:t>ęcy.</w:t>
      </w:r>
      <w:r w:rsidR="003E7265" w:rsidRPr="009B7036">
        <w:rPr>
          <w:rFonts w:asciiTheme="majorHAnsi" w:eastAsia="Times New Roman" w:hAnsiTheme="majorHAnsi"/>
          <w:szCs w:val="24"/>
        </w:rPr>
        <w:t xml:space="preserve"> </w:t>
      </w:r>
    </w:p>
    <w:p w14:paraId="35A5F02B" w14:textId="30FBCB4B" w:rsidR="009B7036" w:rsidRDefault="009B7036" w:rsidP="009B7036">
      <w:pPr>
        <w:tabs>
          <w:tab w:val="left" w:pos="12170"/>
        </w:tabs>
        <w:suppressAutoHyphens/>
        <w:snapToGrid w:val="0"/>
        <w:spacing w:line="319" w:lineRule="auto"/>
        <w:jc w:val="both"/>
        <w:rPr>
          <w:rFonts w:asciiTheme="majorHAnsi" w:eastAsia="Times New Roman" w:hAnsiTheme="majorHAnsi"/>
          <w:b/>
          <w:bCs/>
          <w:szCs w:val="24"/>
        </w:rPr>
      </w:pPr>
      <w:r>
        <w:rPr>
          <w:rFonts w:asciiTheme="majorHAnsi" w:eastAsia="Times New Roman" w:hAnsiTheme="majorHAnsi"/>
          <w:szCs w:val="24"/>
        </w:rPr>
        <w:t>Szczegółowe wymagania dotyczące gwarancji zostały określony w projektowanych postanowieniach umowy</w:t>
      </w:r>
      <w:r w:rsidR="002D62DD">
        <w:rPr>
          <w:rFonts w:asciiTheme="majorHAnsi" w:eastAsia="Times New Roman" w:hAnsiTheme="majorHAnsi"/>
          <w:szCs w:val="24"/>
        </w:rPr>
        <w:t xml:space="preserve">, </w:t>
      </w:r>
      <w:r w:rsidR="002D62DD" w:rsidRPr="002D62DD">
        <w:rPr>
          <w:rFonts w:asciiTheme="majorHAnsi" w:eastAsia="Times New Roman" w:hAnsiTheme="majorHAnsi"/>
          <w:b/>
          <w:bCs/>
          <w:szCs w:val="24"/>
        </w:rPr>
        <w:t>stanowiących  załącznik nr 2 do SWZ.</w:t>
      </w:r>
    </w:p>
    <w:p w14:paraId="46B2BDCF" w14:textId="52288591" w:rsidR="002D62DD" w:rsidRDefault="002D62DD" w:rsidP="009B7036">
      <w:pPr>
        <w:tabs>
          <w:tab w:val="left" w:pos="12170"/>
        </w:tabs>
        <w:suppressAutoHyphens/>
        <w:snapToGrid w:val="0"/>
        <w:spacing w:line="319" w:lineRule="auto"/>
        <w:jc w:val="both"/>
        <w:rPr>
          <w:rFonts w:asciiTheme="majorHAnsi" w:eastAsia="Times New Roman" w:hAnsiTheme="majorHAnsi"/>
          <w:b/>
          <w:bCs/>
          <w:szCs w:val="24"/>
        </w:rPr>
      </w:pPr>
    </w:p>
    <w:p w14:paraId="77ED9532" w14:textId="71978D86" w:rsidR="002D62DD" w:rsidRPr="002D62DD" w:rsidRDefault="002D62DD" w:rsidP="002D62DD">
      <w:pPr>
        <w:pStyle w:val="Akapitzlist"/>
        <w:numPr>
          <w:ilvl w:val="0"/>
          <w:numId w:val="1"/>
        </w:numPr>
        <w:tabs>
          <w:tab w:val="left" w:pos="12170"/>
        </w:tabs>
        <w:suppressAutoHyphens/>
        <w:snapToGrid w:val="0"/>
        <w:spacing w:line="319" w:lineRule="auto"/>
        <w:ind w:left="426" w:hanging="426"/>
        <w:jc w:val="both"/>
        <w:rPr>
          <w:rFonts w:asciiTheme="majorHAnsi" w:eastAsia="Times New Roman" w:hAnsiTheme="majorHAnsi"/>
          <w:b/>
          <w:bCs/>
          <w:szCs w:val="24"/>
        </w:rPr>
      </w:pPr>
      <w:r w:rsidRPr="002D62DD">
        <w:rPr>
          <w:rFonts w:asciiTheme="majorHAnsi" w:eastAsia="Times New Roman" w:hAnsiTheme="majorHAnsi"/>
          <w:szCs w:val="24"/>
        </w:rPr>
        <w:t>Zamawiający nie wymaga złożenia przedmiotowych środków dowodowych.</w:t>
      </w:r>
    </w:p>
    <w:p w14:paraId="7AD1AAAA" w14:textId="77777777" w:rsidR="0044546B" w:rsidRPr="0044546B" w:rsidRDefault="00FC4AB9" w:rsidP="0044546B">
      <w:pPr>
        <w:pStyle w:val="Akapitzlist"/>
        <w:numPr>
          <w:ilvl w:val="0"/>
          <w:numId w:val="1"/>
        </w:numPr>
        <w:tabs>
          <w:tab w:val="left" w:pos="12170"/>
        </w:tabs>
        <w:suppressAutoHyphens/>
        <w:snapToGrid w:val="0"/>
        <w:spacing w:line="319" w:lineRule="auto"/>
        <w:ind w:left="426" w:hanging="426"/>
        <w:jc w:val="both"/>
        <w:rPr>
          <w:rFonts w:asciiTheme="majorHAnsi" w:eastAsia="Times New Roman" w:hAnsiTheme="majorHAnsi"/>
          <w:b/>
          <w:bCs/>
          <w:szCs w:val="24"/>
        </w:rPr>
      </w:pPr>
      <w:bookmarkStart w:id="10" w:name="_Hlk66442564"/>
      <w:r w:rsidRPr="002D62DD">
        <w:rPr>
          <w:rFonts w:asciiTheme="majorHAnsi" w:hAnsiTheme="majorHAnsi" w:cstheme="majorHAnsi"/>
        </w:rPr>
        <w:t xml:space="preserve">Zamawiający </w:t>
      </w:r>
      <w:r w:rsidR="005422A4" w:rsidRPr="002D62DD">
        <w:rPr>
          <w:rFonts w:asciiTheme="majorHAnsi" w:hAnsiTheme="majorHAnsi" w:cstheme="majorHAnsi"/>
        </w:rPr>
        <w:t xml:space="preserve">nie </w:t>
      </w:r>
      <w:r w:rsidRPr="002D62DD">
        <w:rPr>
          <w:rFonts w:asciiTheme="majorHAnsi" w:hAnsiTheme="majorHAnsi" w:cstheme="majorHAnsi"/>
        </w:rPr>
        <w:t xml:space="preserve">dopuszcza </w:t>
      </w:r>
      <w:r w:rsidR="005422A4" w:rsidRPr="002D62DD">
        <w:rPr>
          <w:rFonts w:asciiTheme="majorHAnsi" w:hAnsiTheme="majorHAnsi" w:cstheme="majorHAnsi"/>
        </w:rPr>
        <w:t xml:space="preserve">możliwości składania </w:t>
      </w:r>
      <w:r w:rsidRPr="002D62DD">
        <w:rPr>
          <w:rFonts w:asciiTheme="majorHAnsi" w:hAnsiTheme="majorHAnsi" w:cstheme="majorHAnsi"/>
        </w:rPr>
        <w:t>ofert częściowych</w:t>
      </w:r>
      <w:r w:rsidR="00096B30" w:rsidRPr="002D62DD">
        <w:rPr>
          <w:rFonts w:asciiTheme="majorHAnsi" w:hAnsiTheme="majorHAnsi" w:cstheme="majorHAnsi"/>
        </w:rPr>
        <w:t xml:space="preserve">. </w:t>
      </w:r>
      <w:bookmarkEnd w:id="9"/>
      <w:bookmarkEnd w:id="10"/>
    </w:p>
    <w:p w14:paraId="732E3FA0" w14:textId="315A934C" w:rsidR="00C9460E" w:rsidRPr="0044546B" w:rsidRDefault="00C9460E" w:rsidP="0044546B">
      <w:pPr>
        <w:tabs>
          <w:tab w:val="left" w:pos="12170"/>
        </w:tabs>
        <w:suppressAutoHyphens/>
        <w:snapToGrid w:val="0"/>
        <w:spacing w:line="319" w:lineRule="auto"/>
        <w:jc w:val="both"/>
        <w:rPr>
          <w:rFonts w:asciiTheme="majorHAnsi" w:eastAsia="Times New Roman" w:hAnsiTheme="majorHAnsi" w:cstheme="majorHAnsi"/>
          <w:b/>
          <w:bCs/>
          <w:szCs w:val="24"/>
        </w:rPr>
      </w:pPr>
      <w:r w:rsidRPr="0044546B">
        <w:rPr>
          <w:rFonts w:asciiTheme="majorHAnsi" w:hAnsiTheme="majorHAnsi" w:cstheme="majorHAnsi"/>
        </w:rPr>
        <w:t>Uzasadnienie do braku podziału zamówienia na części:</w:t>
      </w:r>
    </w:p>
    <w:p w14:paraId="504BC2BA" w14:textId="0559285B" w:rsidR="00C9460E" w:rsidRPr="0044546B" w:rsidRDefault="00C9460E" w:rsidP="0044546B">
      <w:pPr>
        <w:spacing w:line="319" w:lineRule="auto"/>
        <w:jc w:val="both"/>
        <w:rPr>
          <w:rFonts w:asciiTheme="majorHAnsi" w:hAnsiTheme="majorHAnsi" w:cstheme="majorHAnsi"/>
        </w:rPr>
      </w:pPr>
      <w:r w:rsidRPr="0044546B">
        <w:rPr>
          <w:rFonts w:asciiTheme="majorHAnsi" w:hAnsiTheme="majorHAnsi" w:cstheme="majorHAnsi"/>
        </w:rPr>
        <w:t xml:space="preserve">Zdaniem Zamawiającego podział zakresu niniejszego postępowania na części,  nie jest uzasadniony, a przeciwnie powodowałby nadmierne trudności techniczne </w:t>
      </w:r>
      <w:r w:rsidR="00D576E9" w:rsidRPr="0044546B">
        <w:rPr>
          <w:rFonts w:asciiTheme="majorHAnsi" w:hAnsiTheme="majorHAnsi" w:cstheme="majorHAnsi"/>
        </w:rPr>
        <w:t xml:space="preserve">i organizacyjne </w:t>
      </w:r>
      <w:r w:rsidRPr="0044546B">
        <w:rPr>
          <w:rFonts w:asciiTheme="majorHAnsi" w:hAnsiTheme="majorHAnsi" w:cstheme="majorHAnsi"/>
        </w:rPr>
        <w:t>związane z realizacją zamówienia</w:t>
      </w:r>
      <w:r w:rsidR="00782C76" w:rsidRPr="0044546B">
        <w:rPr>
          <w:rFonts w:asciiTheme="majorHAnsi" w:hAnsiTheme="majorHAnsi" w:cstheme="majorHAnsi"/>
        </w:rPr>
        <w:t>.</w:t>
      </w:r>
    </w:p>
    <w:p w14:paraId="3AF4927A" w14:textId="653E05B6" w:rsidR="001D44A4" w:rsidRPr="0044546B" w:rsidRDefault="001D44A4" w:rsidP="00C9460E">
      <w:pPr>
        <w:spacing w:line="312" w:lineRule="auto"/>
        <w:jc w:val="both"/>
        <w:rPr>
          <w:rFonts w:asciiTheme="majorHAnsi" w:hAnsiTheme="majorHAnsi" w:cstheme="majorHAnsi"/>
        </w:rPr>
      </w:pPr>
      <w:r w:rsidRPr="0044546B">
        <w:rPr>
          <w:rFonts w:asciiTheme="majorHAnsi" w:hAnsiTheme="majorHAnsi" w:cstheme="majorHAnsi"/>
        </w:rPr>
        <w:t xml:space="preserve">Przedmiotowa robota budowlana ze względu na swój zakres oraz specyfikę musi być wykonana </w:t>
      </w:r>
      <w:r w:rsidR="0044546B">
        <w:rPr>
          <w:rFonts w:asciiTheme="majorHAnsi" w:hAnsiTheme="majorHAnsi" w:cstheme="majorHAnsi"/>
        </w:rPr>
        <w:t xml:space="preserve">                             </w:t>
      </w:r>
      <w:r w:rsidRPr="0044546B">
        <w:rPr>
          <w:rFonts w:asciiTheme="majorHAnsi" w:hAnsiTheme="majorHAnsi" w:cstheme="majorHAnsi"/>
        </w:rPr>
        <w:t xml:space="preserve">i dostarczana w całości jako kompletna. W związku z powyższym brak jest podstaw podziału zamówienia na części, gdyż wymagałoby to skoordynowania większej ilości wykonawców </w:t>
      </w:r>
      <w:r w:rsidR="0044546B">
        <w:rPr>
          <w:rFonts w:asciiTheme="majorHAnsi" w:hAnsiTheme="majorHAnsi" w:cstheme="majorHAnsi"/>
        </w:rPr>
        <w:t xml:space="preserve">                                            </w:t>
      </w:r>
      <w:r w:rsidRPr="0044546B">
        <w:rPr>
          <w:rFonts w:asciiTheme="majorHAnsi" w:hAnsiTheme="majorHAnsi" w:cstheme="majorHAnsi"/>
        </w:rPr>
        <w:t>i podrożyłoby to koszty wykonania zamówienia.</w:t>
      </w:r>
    </w:p>
    <w:p w14:paraId="057A3F1A" w14:textId="0D5CC4BF" w:rsidR="00C9460E" w:rsidRPr="0044546B" w:rsidRDefault="00C9460E" w:rsidP="00C9460E">
      <w:pPr>
        <w:spacing w:line="312" w:lineRule="auto"/>
        <w:jc w:val="both"/>
        <w:rPr>
          <w:rFonts w:asciiTheme="majorHAnsi" w:hAnsiTheme="majorHAnsi" w:cstheme="majorHAnsi"/>
        </w:rPr>
      </w:pPr>
      <w:r w:rsidRPr="0044546B">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w:t>
      </w:r>
      <w:r w:rsidR="00782C76" w:rsidRPr="0044546B">
        <w:rPr>
          <w:rFonts w:asciiTheme="majorHAnsi" w:hAnsiTheme="majorHAnsi" w:cstheme="majorHAnsi"/>
        </w:rPr>
        <w:t>ej</w:t>
      </w:r>
      <w:r w:rsidRPr="0044546B">
        <w:rPr>
          <w:rFonts w:asciiTheme="majorHAnsi" w:hAnsiTheme="majorHAnsi" w:cstheme="majorHAnsi"/>
        </w:rPr>
        <w:t xml:space="preserve"> i stanu faktycznego potwierdzonego wizją w terenie, mogłoby mieć miejsce.</w:t>
      </w:r>
    </w:p>
    <w:p w14:paraId="75FAF641" w14:textId="06599CE3" w:rsidR="00C9460E" w:rsidRPr="0044546B" w:rsidRDefault="00C9460E" w:rsidP="00C9460E">
      <w:pPr>
        <w:spacing w:line="312" w:lineRule="auto"/>
        <w:jc w:val="both"/>
        <w:rPr>
          <w:rFonts w:asciiTheme="majorHAnsi" w:hAnsiTheme="majorHAnsi" w:cstheme="majorHAnsi"/>
        </w:rPr>
      </w:pPr>
      <w:r w:rsidRPr="0044546B">
        <w:rPr>
          <w:rFonts w:asciiTheme="majorHAnsi" w:hAnsiTheme="majorHAnsi" w:cstheme="majorHAnsi"/>
        </w:rPr>
        <w:t>Ze względu na zakres</w:t>
      </w:r>
      <w:r w:rsidR="00D576E9" w:rsidRPr="0044546B">
        <w:rPr>
          <w:rFonts w:asciiTheme="majorHAnsi" w:hAnsiTheme="majorHAnsi" w:cstheme="majorHAnsi"/>
        </w:rPr>
        <w:t xml:space="preserve"> niniejszego zamówienia oraz jego</w:t>
      </w:r>
      <w:r w:rsidRPr="0044546B">
        <w:rPr>
          <w:rFonts w:asciiTheme="majorHAnsi" w:hAnsiTheme="majorHAnsi" w:cstheme="majorHAnsi"/>
        </w:rPr>
        <w:t xml:space="preserve"> wartość, brak podziału zamówienia na części nie zakłóca konkurencji w ramach postępowania.</w:t>
      </w:r>
    </w:p>
    <w:p w14:paraId="282DE37F" w14:textId="7879CDD3" w:rsidR="002D62DD" w:rsidRDefault="002D62DD" w:rsidP="00C9460E">
      <w:pPr>
        <w:spacing w:line="312" w:lineRule="auto"/>
        <w:jc w:val="both"/>
        <w:rPr>
          <w:rFonts w:ascii="Calibri Light" w:hAnsi="Calibri Light" w:cs="Calibri Light"/>
        </w:rPr>
      </w:pPr>
    </w:p>
    <w:p w14:paraId="00000075" w14:textId="77FF5970" w:rsidR="001C5D72" w:rsidRPr="002D62DD" w:rsidRDefault="00FC4AB9" w:rsidP="002D62DD">
      <w:pPr>
        <w:pStyle w:val="Akapitzlist"/>
        <w:numPr>
          <w:ilvl w:val="0"/>
          <w:numId w:val="1"/>
        </w:numPr>
        <w:spacing w:line="312" w:lineRule="auto"/>
        <w:ind w:left="284" w:hanging="284"/>
        <w:jc w:val="both"/>
      </w:pPr>
      <w:r w:rsidRPr="002D62DD">
        <w:rPr>
          <w:rFonts w:asciiTheme="majorHAnsi" w:hAnsiTheme="majorHAnsi" w:cstheme="majorHAnsi"/>
        </w:rPr>
        <w:t>Zamawiający nie dopuszcza składania ofert wariantowych</w:t>
      </w:r>
      <w:r w:rsidR="009A31BF" w:rsidRPr="002D62DD">
        <w:rPr>
          <w:rFonts w:asciiTheme="majorHAnsi" w:hAnsiTheme="majorHAnsi" w:cstheme="majorHAnsi"/>
        </w:rPr>
        <w:t>.</w:t>
      </w:r>
    </w:p>
    <w:p w14:paraId="00000076" w14:textId="32264FE0" w:rsidR="001C5D72" w:rsidRPr="002D62DD" w:rsidRDefault="00FC4AB9" w:rsidP="002D62DD">
      <w:pPr>
        <w:pStyle w:val="Akapitzlist"/>
        <w:numPr>
          <w:ilvl w:val="0"/>
          <w:numId w:val="1"/>
        </w:numPr>
        <w:spacing w:line="312" w:lineRule="auto"/>
        <w:ind w:left="284" w:hanging="284"/>
        <w:jc w:val="both"/>
      </w:pPr>
      <w:r w:rsidRPr="002D62DD">
        <w:rPr>
          <w:rFonts w:asciiTheme="majorHAnsi" w:hAnsiTheme="majorHAnsi" w:cstheme="majorHAnsi"/>
        </w:rPr>
        <w:t>Zamawiający nie przewiduje udzielania zamówień, o których mowa w art. 214 ust. 1 pkt 7</w:t>
      </w:r>
      <w:r w:rsidR="00096B30" w:rsidRPr="002D62DD">
        <w:rPr>
          <w:rFonts w:asciiTheme="majorHAnsi" w:hAnsiTheme="majorHAnsi" w:cstheme="majorHAnsi"/>
        </w:rPr>
        <w:t>.</w:t>
      </w:r>
    </w:p>
    <w:p w14:paraId="44E88950" w14:textId="5931EFC6" w:rsidR="00471433" w:rsidRPr="002D62DD" w:rsidRDefault="00471433" w:rsidP="002D62DD">
      <w:pPr>
        <w:pStyle w:val="Akapitzlist"/>
        <w:numPr>
          <w:ilvl w:val="0"/>
          <w:numId w:val="1"/>
        </w:numPr>
        <w:spacing w:line="312" w:lineRule="auto"/>
        <w:ind w:left="284" w:hanging="284"/>
        <w:jc w:val="both"/>
      </w:pPr>
      <w:r w:rsidRPr="002D62DD">
        <w:rPr>
          <w:rFonts w:asciiTheme="majorHAnsi" w:hAnsiTheme="majorHAnsi" w:cstheme="majorHAnsi"/>
        </w:rPr>
        <w:lastRenderedPageBreak/>
        <w:t>Rozwiązania równoważne.</w:t>
      </w:r>
    </w:p>
    <w:p w14:paraId="7EF5FE65" w14:textId="7897B032" w:rsidR="00471433" w:rsidRPr="00326F74" w:rsidRDefault="003C331F" w:rsidP="00326F74">
      <w:pPr>
        <w:pStyle w:val="Akapitzlist"/>
        <w:tabs>
          <w:tab w:val="left" w:pos="426"/>
        </w:tabs>
        <w:spacing w:after="0" w:line="360" w:lineRule="auto"/>
        <w:ind w:left="0"/>
        <w:jc w:val="both"/>
        <w:rPr>
          <w:rFonts w:asciiTheme="majorHAnsi" w:hAnsiTheme="majorHAnsi" w:cstheme="majorHAnsi"/>
        </w:rPr>
      </w:pPr>
      <w:r w:rsidRPr="00326F74">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9E49857" w14:textId="0ED8DF50" w:rsidR="00831210" w:rsidRPr="000D10E1" w:rsidRDefault="00831210" w:rsidP="00831210">
      <w:pPr>
        <w:spacing w:line="319" w:lineRule="auto"/>
        <w:jc w:val="both"/>
        <w:rPr>
          <w:rFonts w:asciiTheme="majorHAnsi" w:hAnsiTheme="majorHAnsi" w:cstheme="majorHAnsi"/>
        </w:rPr>
      </w:pPr>
      <w:r>
        <w:rPr>
          <w:rFonts w:asciiTheme="majorHAnsi" w:hAnsiTheme="majorHAnsi" w:cstheme="majorHAnsi"/>
        </w:rPr>
        <w:t xml:space="preserve">Zgodnie z art. 101 ust. 4 </w:t>
      </w:r>
      <w:proofErr w:type="spellStart"/>
      <w:r>
        <w:rPr>
          <w:rFonts w:asciiTheme="majorHAnsi" w:hAnsiTheme="majorHAnsi" w:cstheme="majorHAnsi"/>
        </w:rPr>
        <w:t>Pzp</w:t>
      </w:r>
      <w:proofErr w:type="spellEnd"/>
      <w:r>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1" w:name="_Toc65495850"/>
      <w:r w:rsidRPr="0039496C">
        <w:rPr>
          <w:rFonts w:asciiTheme="majorHAnsi" w:hAnsiTheme="majorHAnsi" w:cstheme="majorHAnsi"/>
          <w:b/>
          <w:bCs/>
          <w:sz w:val="24"/>
          <w:szCs w:val="24"/>
        </w:rPr>
        <w:t>V. Wizja lokalna</w:t>
      </w:r>
      <w:bookmarkEnd w:id="11"/>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2" w:name="_Toc65495851"/>
      <w:r w:rsidRPr="0039496C">
        <w:rPr>
          <w:rFonts w:asciiTheme="majorHAnsi" w:hAnsiTheme="majorHAnsi" w:cstheme="majorHAnsi"/>
          <w:b/>
          <w:bCs/>
          <w:sz w:val="24"/>
          <w:szCs w:val="24"/>
        </w:rPr>
        <w:t>VI. Podwykonawstwo</w:t>
      </w:r>
      <w:bookmarkEnd w:id="12"/>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wymaga, aby w przypadku powierzenia części zamówienia podwykonawcom, Wykonawca wskazał w ofercie części zamówienia, których wykonanie zamierza powierzyć </w:t>
      </w:r>
      <w:r w:rsidRPr="00A258D6">
        <w:rPr>
          <w:rFonts w:asciiTheme="majorHAnsi" w:hAnsiTheme="majorHAnsi" w:cstheme="majorHAnsi"/>
        </w:rPr>
        <w:lastRenderedPageBreak/>
        <w:t>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2AFA535A"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3" w:name="_Toc65495852"/>
      <w:r w:rsidRPr="00A258D6">
        <w:rPr>
          <w:rFonts w:asciiTheme="majorHAnsi" w:hAnsiTheme="majorHAnsi" w:cstheme="majorHAnsi"/>
          <w:b/>
          <w:bCs/>
          <w:sz w:val="24"/>
          <w:szCs w:val="24"/>
        </w:rPr>
        <w:t>VII. Termin wykonania zamówienia</w:t>
      </w:r>
      <w:bookmarkEnd w:id="13"/>
      <w:r w:rsidR="006B6890" w:rsidRPr="00A258D6">
        <w:rPr>
          <w:rFonts w:asciiTheme="majorHAnsi" w:hAnsiTheme="majorHAnsi" w:cstheme="majorHAnsi"/>
          <w:b/>
          <w:bCs/>
          <w:sz w:val="24"/>
          <w:szCs w:val="24"/>
        </w:rPr>
        <w:t xml:space="preserve">: </w:t>
      </w:r>
      <w:r w:rsidR="006B6890" w:rsidRPr="00A258D6">
        <w:rPr>
          <w:rFonts w:asciiTheme="majorHAnsi" w:eastAsia="Times New Roman" w:hAnsiTheme="majorHAnsi" w:cstheme="majorHAnsi"/>
          <w:b/>
          <w:sz w:val="24"/>
          <w:szCs w:val="24"/>
        </w:rPr>
        <w:t xml:space="preserve">do </w:t>
      </w:r>
      <w:r w:rsidR="00636197">
        <w:rPr>
          <w:rFonts w:asciiTheme="majorHAnsi" w:eastAsia="Times New Roman" w:hAnsiTheme="majorHAnsi" w:cstheme="majorHAnsi"/>
          <w:b/>
          <w:sz w:val="24"/>
          <w:szCs w:val="24"/>
        </w:rPr>
        <w:t>2</w:t>
      </w:r>
      <w:r w:rsidR="006B6890" w:rsidRPr="00A258D6">
        <w:rPr>
          <w:rFonts w:asciiTheme="majorHAnsi" w:eastAsia="Times New Roman" w:hAnsiTheme="majorHAnsi" w:cstheme="majorHAnsi"/>
          <w:b/>
          <w:sz w:val="24"/>
          <w:szCs w:val="24"/>
        </w:rPr>
        <w:t xml:space="preserve"> miesięcy od daty podpisania umowy</w:t>
      </w:r>
      <w:r w:rsidR="00FD5FF7">
        <w:rPr>
          <w:rFonts w:asciiTheme="majorHAnsi" w:eastAsia="Times New Roman" w:hAnsiTheme="majorHAnsi" w:cstheme="majorHAnsi"/>
          <w:b/>
          <w:sz w:val="24"/>
          <w:szCs w:val="24"/>
        </w:rPr>
        <w:t>.</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4" w:name="_Toc65495853"/>
      <w:r w:rsidRPr="00A258D6">
        <w:rPr>
          <w:rFonts w:asciiTheme="majorHAnsi" w:hAnsiTheme="majorHAnsi" w:cstheme="majorHAnsi"/>
          <w:b/>
          <w:bCs/>
          <w:sz w:val="24"/>
          <w:szCs w:val="24"/>
        </w:rPr>
        <w:t>VIII. Warunki udziału w postępowaniu</w:t>
      </w:r>
      <w:bookmarkEnd w:id="14"/>
    </w:p>
    <w:p w14:paraId="00000083"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A258D6">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3915697D" w14:textId="3C763FFF" w:rsidR="00D51A9B" w:rsidRPr="00D51A9B" w:rsidRDefault="00A258D6" w:rsidP="006E5EFD">
      <w:pPr>
        <w:spacing w:line="240" w:lineRule="auto"/>
        <w:ind w:left="567"/>
        <w:jc w:val="both"/>
        <w:rPr>
          <w:rFonts w:asciiTheme="majorHAnsi" w:eastAsia="Times New Roman" w:hAnsiTheme="majorHAnsi" w:cstheme="majorHAnsi"/>
          <w:b/>
          <w:bCs/>
          <w:szCs w:val="24"/>
        </w:rPr>
      </w:pPr>
      <w:bookmarkStart w:id="15" w:name="_Hlk72163517"/>
      <w:bookmarkStart w:id="16" w:name="_Hlk5877927"/>
      <w:r w:rsidRPr="00D51A9B">
        <w:rPr>
          <w:rFonts w:asciiTheme="majorHAnsi" w:eastAsia="Times New Roman" w:hAnsiTheme="majorHAnsi" w:cstheme="majorHAnsi"/>
          <w:b/>
          <w:bCs/>
        </w:rPr>
        <w:t xml:space="preserve">a) </w:t>
      </w:r>
      <w:r w:rsidRPr="00D51A9B">
        <w:rPr>
          <w:rFonts w:asciiTheme="majorHAnsi" w:eastAsia="Times New Roman" w:hAnsiTheme="majorHAnsi" w:cstheme="majorHAnsi"/>
          <w:bCs/>
        </w:rPr>
        <w:t xml:space="preserve">Wykonawca spełni warunek jeżeli wykaże, że w okresie 5 lat przed upływem terminu składania ofert, a jeżeli okres prowadzenia działalności jest krótszy – w tym okresie, </w:t>
      </w:r>
      <w:r w:rsidRPr="00D51A9B">
        <w:rPr>
          <w:rFonts w:asciiTheme="majorHAnsi" w:eastAsia="Times New Roman" w:hAnsiTheme="majorHAnsi" w:cstheme="majorHAnsi"/>
          <w:b/>
          <w:bCs/>
        </w:rPr>
        <w:t xml:space="preserve"> </w:t>
      </w:r>
      <w:r w:rsidR="00D51A9B" w:rsidRPr="00D51A9B">
        <w:rPr>
          <w:rFonts w:asciiTheme="majorHAnsi" w:eastAsia="Times New Roman" w:hAnsiTheme="majorHAnsi" w:cstheme="majorHAnsi"/>
          <w:b/>
          <w:bCs/>
          <w:szCs w:val="24"/>
        </w:rPr>
        <w:t xml:space="preserve">należycie wykonał </w:t>
      </w:r>
      <w:bookmarkStart w:id="17" w:name="_Hlk26960414"/>
      <w:r w:rsidR="00D51A9B" w:rsidRPr="00D51A9B">
        <w:rPr>
          <w:rFonts w:asciiTheme="majorHAnsi" w:eastAsia="Times New Roman" w:hAnsiTheme="majorHAnsi" w:cstheme="majorHAnsi"/>
          <w:b/>
          <w:bCs/>
          <w:szCs w:val="24"/>
        </w:rPr>
        <w:t xml:space="preserve">co najmniej jedną robotę budowlaną o wartości co najmniej </w:t>
      </w:r>
      <w:r w:rsidR="0057137E">
        <w:rPr>
          <w:rFonts w:asciiTheme="majorHAnsi" w:eastAsia="Times New Roman" w:hAnsiTheme="majorHAnsi" w:cstheme="majorHAnsi"/>
          <w:b/>
          <w:bCs/>
          <w:szCs w:val="24"/>
        </w:rPr>
        <w:t>3</w:t>
      </w:r>
      <w:r w:rsidR="006E5EFD">
        <w:rPr>
          <w:rFonts w:asciiTheme="majorHAnsi" w:eastAsia="Times New Roman" w:hAnsiTheme="majorHAnsi" w:cstheme="majorHAnsi"/>
          <w:b/>
          <w:bCs/>
          <w:szCs w:val="24"/>
        </w:rPr>
        <w:t>00</w:t>
      </w:r>
      <w:r w:rsidR="00D51A9B" w:rsidRPr="00D51A9B">
        <w:rPr>
          <w:rFonts w:asciiTheme="majorHAnsi" w:eastAsia="Times New Roman" w:hAnsiTheme="majorHAnsi" w:cstheme="majorHAnsi"/>
          <w:b/>
          <w:bCs/>
          <w:szCs w:val="24"/>
        </w:rPr>
        <w:t>.000,00 zł brutto, obejmującą co</w:t>
      </w:r>
      <w:r w:rsidR="0057137E">
        <w:rPr>
          <w:rFonts w:asciiTheme="majorHAnsi" w:eastAsia="Times New Roman" w:hAnsiTheme="majorHAnsi" w:cstheme="majorHAnsi"/>
          <w:b/>
          <w:bCs/>
          <w:szCs w:val="24"/>
        </w:rPr>
        <w:t xml:space="preserve"> </w:t>
      </w:r>
      <w:r w:rsidR="00D51A9B" w:rsidRPr="00D51A9B">
        <w:rPr>
          <w:rFonts w:asciiTheme="majorHAnsi" w:eastAsia="Times New Roman" w:hAnsiTheme="majorHAnsi" w:cstheme="majorHAnsi"/>
          <w:b/>
          <w:bCs/>
          <w:szCs w:val="24"/>
        </w:rPr>
        <w:t>najmniej</w:t>
      </w:r>
      <w:bookmarkEnd w:id="17"/>
      <w:r w:rsidR="006E5EFD">
        <w:rPr>
          <w:rFonts w:asciiTheme="majorHAnsi" w:eastAsia="Times New Roman" w:hAnsiTheme="majorHAnsi" w:cstheme="majorHAnsi"/>
          <w:b/>
          <w:bCs/>
          <w:szCs w:val="24"/>
        </w:rPr>
        <w:t xml:space="preserve"> wykonanie robót dekarskich z zastosowaniem papy termozgrzewalnej.</w:t>
      </w:r>
    </w:p>
    <w:p w14:paraId="23218774" w14:textId="77777777" w:rsidR="0044546B" w:rsidRDefault="0044546B" w:rsidP="00D51A9B">
      <w:pPr>
        <w:spacing w:line="240" w:lineRule="auto"/>
        <w:ind w:left="567"/>
        <w:jc w:val="both"/>
        <w:rPr>
          <w:rFonts w:asciiTheme="majorHAnsi" w:eastAsia="Times New Roman" w:hAnsiTheme="majorHAnsi" w:cstheme="majorHAnsi"/>
          <w:szCs w:val="24"/>
        </w:rPr>
      </w:pPr>
    </w:p>
    <w:p w14:paraId="193386C4" w14:textId="2D3D48E0" w:rsidR="00D51A9B" w:rsidRDefault="00D51A9B" w:rsidP="00D51A9B">
      <w:pPr>
        <w:spacing w:line="240" w:lineRule="auto"/>
        <w:ind w:left="567"/>
        <w:jc w:val="both"/>
        <w:rPr>
          <w:rFonts w:asciiTheme="majorHAnsi" w:eastAsia="Times New Roman" w:hAnsiTheme="majorHAnsi" w:cstheme="majorHAnsi"/>
          <w:szCs w:val="24"/>
        </w:rPr>
      </w:pPr>
      <w:r w:rsidRPr="00D51A9B">
        <w:rPr>
          <w:rFonts w:asciiTheme="majorHAnsi" w:eastAsia="Times New Roman" w:hAnsiTheme="majorHAnsi" w:cstheme="majorHAnsi"/>
          <w:szCs w:val="24"/>
        </w:rPr>
        <w:t>Wykonawca nie może sumować wartości kilku robót o mniejszym zakresie i cenie dla wykazania spełniania przedmiotowego warunku w zakresie wymaganej roboty referencyjnej.</w:t>
      </w:r>
    </w:p>
    <w:bookmarkEnd w:id="15"/>
    <w:p w14:paraId="63A0E8DA" w14:textId="2F11E6BC" w:rsidR="00EF4BB5" w:rsidRDefault="00EF4BB5" w:rsidP="00D51A9B">
      <w:pPr>
        <w:spacing w:line="240" w:lineRule="auto"/>
        <w:ind w:left="567"/>
        <w:jc w:val="both"/>
        <w:rPr>
          <w:rFonts w:asciiTheme="majorHAnsi" w:eastAsia="Times New Roman" w:hAnsiTheme="majorHAnsi" w:cstheme="majorHAnsi"/>
          <w:szCs w:val="24"/>
        </w:rPr>
      </w:pPr>
    </w:p>
    <w:p w14:paraId="563D0E70" w14:textId="008CC7C1" w:rsidR="00EF4BB5" w:rsidRDefault="00EF4BB5" w:rsidP="00EF4BB5">
      <w:pPr>
        <w:spacing w:line="240" w:lineRule="auto"/>
        <w:ind w:left="567"/>
        <w:jc w:val="both"/>
        <w:rPr>
          <w:rFonts w:asciiTheme="majorHAnsi" w:eastAsia="Times New Roman" w:hAnsiTheme="majorHAnsi" w:cstheme="majorHAnsi"/>
          <w:szCs w:val="24"/>
          <w:u w:val="single"/>
        </w:rPr>
      </w:pPr>
      <w:r w:rsidRPr="00EF4BB5">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w:t>
      </w:r>
      <w:r>
        <w:rPr>
          <w:rFonts w:asciiTheme="majorHAnsi" w:eastAsia="Times New Roman" w:hAnsiTheme="majorHAnsi" w:cstheme="majorHAnsi"/>
          <w:szCs w:val="24"/>
        </w:rPr>
        <w:t>ust.</w:t>
      </w:r>
      <w:r w:rsidRPr="00EF4BB5">
        <w:rPr>
          <w:rFonts w:asciiTheme="majorHAnsi" w:eastAsia="Times New Roman" w:hAnsiTheme="majorHAnsi" w:cstheme="majorHAnsi"/>
          <w:szCs w:val="24"/>
        </w:rPr>
        <w:t xml:space="preserve"> </w:t>
      </w:r>
      <w:r>
        <w:rPr>
          <w:rFonts w:asciiTheme="majorHAnsi" w:eastAsia="Times New Roman" w:hAnsiTheme="majorHAnsi" w:cstheme="majorHAnsi"/>
          <w:szCs w:val="24"/>
        </w:rPr>
        <w:t>2 pkt.4 a)</w:t>
      </w:r>
      <w:r w:rsidRPr="00EF4BB5">
        <w:rPr>
          <w:rFonts w:asciiTheme="majorHAnsi" w:eastAsia="Times New Roman" w:hAnsiTheme="majorHAnsi" w:cstheme="majorHAnsi"/>
          <w:szCs w:val="24"/>
        </w:rPr>
        <w:t xml:space="preserve"> SWZ zostanie spełniony wyłącznie, </w:t>
      </w:r>
      <w:r w:rsidRPr="00EF4BB5">
        <w:rPr>
          <w:rFonts w:asciiTheme="majorHAnsi" w:eastAsia="Times New Roman" w:hAnsiTheme="majorHAnsi" w:cstheme="majorHAnsi"/>
          <w:szCs w:val="24"/>
          <w:u w:val="single"/>
        </w:rPr>
        <w:t>jeżeli jeden z wykonawców ( tj. wykonawca lub jeden z konsorcjantów lub jeden podmiot udostępniający zasoby)  spełni warunek samodzielnie.</w:t>
      </w:r>
    </w:p>
    <w:p w14:paraId="33D7E100" w14:textId="7BDF8514" w:rsidR="00636197" w:rsidRDefault="00636197" w:rsidP="00EF4BB5">
      <w:pPr>
        <w:spacing w:line="240" w:lineRule="auto"/>
        <w:ind w:left="567"/>
        <w:jc w:val="both"/>
        <w:rPr>
          <w:rFonts w:asciiTheme="majorHAnsi" w:eastAsia="Times New Roman" w:hAnsiTheme="majorHAnsi" w:cstheme="majorHAnsi"/>
          <w:szCs w:val="24"/>
          <w:u w:val="single"/>
        </w:rPr>
      </w:pPr>
    </w:p>
    <w:p w14:paraId="343891DE" w14:textId="77777777" w:rsidR="00A258D6" w:rsidRPr="00A258D6" w:rsidRDefault="00A258D6" w:rsidP="00A258D6">
      <w:pPr>
        <w:ind w:left="540"/>
        <w:jc w:val="both"/>
        <w:rPr>
          <w:rFonts w:asciiTheme="majorHAnsi" w:eastAsia="Times New Roman" w:hAnsiTheme="majorHAnsi" w:cstheme="majorHAnsi"/>
        </w:rPr>
      </w:pPr>
      <w:r w:rsidRPr="00A258D6">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6"/>
    <w:p w14:paraId="7940D440" w14:textId="77777777" w:rsidR="00A258D6" w:rsidRPr="00A258D6" w:rsidRDefault="00A258D6" w:rsidP="00A258D6">
      <w:pPr>
        <w:spacing w:line="240" w:lineRule="auto"/>
        <w:jc w:val="both"/>
        <w:rPr>
          <w:rFonts w:asciiTheme="majorHAnsi" w:eastAsia="Times New Roman" w:hAnsiTheme="majorHAnsi" w:cstheme="majorHAnsi"/>
          <w:b/>
        </w:rPr>
      </w:pPr>
    </w:p>
    <w:p w14:paraId="0000008E" w14:textId="2CC2CC07" w:rsidR="001C5D72" w:rsidRPr="00A258D6" w:rsidRDefault="00FC4AB9" w:rsidP="00F76792">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19EC47" w14:textId="77777777" w:rsidR="005864EA" w:rsidRPr="00A258D6" w:rsidRDefault="005864EA" w:rsidP="005864EA">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8" w:name="_Toc65495854"/>
      <w:r w:rsidRPr="0039496C">
        <w:rPr>
          <w:rFonts w:asciiTheme="majorHAnsi" w:hAnsiTheme="majorHAnsi" w:cstheme="majorHAnsi"/>
          <w:b/>
          <w:bCs/>
          <w:sz w:val="24"/>
          <w:szCs w:val="24"/>
        </w:rPr>
        <w:lastRenderedPageBreak/>
        <w:t>IX. Podstawy wykluczenia z postępowania</w:t>
      </w:r>
      <w:bookmarkEnd w:id="18"/>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Pr="00A258D6">
        <w:rPr>
          <w:rFonts w:asciiTheme="majorHAnsi" w:eastAsia="Times New Roman" w:hAnsiTheme="majorHAnsi" w:cstheme="majorHAnsi"/>
        </w:rPr>
        <w:lastRenderedPageBreak/>
        <w:t>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19"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9"/>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000009A" w14:textId="16A3D773" w:rsidR="001C5D72"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DFB897" w14:textId="58562AF5" w:rsidR="00BE5227" w:rsidRDefault="00BE5227" w:rsidP="00BE5227">
      <w:pPr>
        <w:spacing w:line="319" w:lineRule="auto"/>
        <w:jc w:val="both"/>
        <w:rPr>
          <w:rFonts w:asciiTheme="majorHAnsi" w:hAnsiTheme="majorHAnsi" w:cstheme="majorHAnsi"/>
        </w:rPr>
      </w:pP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42FA8CF1" w:rsidR="001C5D72" w:rsidRPr="00BE5227"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lastRenderedPageBreak/>
        <w:t>Podmiotowe środki dowodowe wymagane od wykonawcy obejmują:</w:t>
      </w:r>
    </w:p>
    <w:p w14:paraId="1D4FB20A" w14:textId="5938AA78" w:rsidR="00826B05" w:rsidRPr="00BE5227" w:rsidRDefault="001767E2" w:rsidP="00481726">
      <w:pPr>
        <w:pStyle w:val="Akapitzlist"/>
        <w:numPr>
          <w:ilvl w:val="1"/>
          <w:numId w:val="41"/>
        </w:numPr>
        <w:spacing w:after="0" w:line="319" w:lineRule="auto"/>
        <w:ind w:left="142" w:firstLine="0"/>
        <w:jc w:val="both"/>
        <w:rPr>
          <w:rFonts w:asciiTheme="majorHAnsi" w:hAnsiTheme="majorHAnsi" w:cstheme="majorHAnsi"/>
        </w:rPr>
      </w:pPr>
      <w:r w:rsidRPr="00BE5227">
        <w:rPr>
          <w:rFonts w:asciiTheme="majorHAnsi" w:hAnsiTheme="majorHAnsi" w:cstheme="majorHAnsi"/>
          <w:b/>
          <w:bCs/>
        </w:rPr>
        <w:t>W</w:t>
      </w:r>
      <w:r w:rsidR="00826B05" w:rsidRPr="00BE5227">
        <w:rPr>
          <w:rFonts w:asciiTheme="majorHAnsi" w:hAnsiTheme="majorHAnsi" w:cstheme="majorHAnsi"/>
          <w:b/>
          <w:bCs/>
        </w:rPr>
        <w:t>ykaz robót budowlanych</w:t>
      </w:r>
      <w:r w:rsidR="00826B05" w:rsidRPr="00BE5227">
        <w:rPr>
          <w:rFonts w:asciiTheme="majorHAnsi" w:hAnsiTheme="majorHAnsi" w:cstheme="maj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826B05" w:rsidRPr="00BE5227">
        <w:rPr>
          <w:rFonts w:asciiTheme="majorHAnsi" w:hAnsiTheme="majorHAnsi" w:cstheme="majorHAnsi"/>
          <w:b/>
          <w:bCs/>
        </w:rPr>
        <w:t xml:space="preserve">załącznik nr </w:t>
      </w:r>
      <w:r w:rsidR="00E95F17">
        <w:rPr>
          <w:rFonts w:asciiTheme="majorHAnsi" w:hAnsiTheme="majorHAnsi" w:cstheme="majorHAnsi"/>
          <w:b/>
          <w:bCs/>
        </w:rPr>
        <w:t>5</w:t>
      </w:r>
      <w:r w:rsidR="00826B05" w:rsidRPr="00BE5227">
        <w:rPr>
          <w:rFonts w:asciiTheme="majorHAnsi" w:hAnsiTheme="majorHAnsi" w:cstheme="majorHAnsi"/>
          <w:b/>
          <w:bCs/>
        </w:rPr>
        <w:t xml:space="preserve"> do SWZ.</w:t>
      </w:r>
    </w:p>
    <w:p w14:paraId="156DE820" w14:textId="77777777" w:rsidR="00826B05" w:rsidRPr="00826B05" w:rsidRDefault="00826B05" w:rsidP="00481726">
      <w:pPr>
        <w:pStyle w:val="Tekstpodstawowy"/>
        <w:spacing w:after="0" w:line="31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346ED9D5" w14:textId="77777777" w:rsidR="00826B05" w:rsidRPr="00826B05" w:rsidRDefault="00826B05" w:rsidP="00BE5227">
      <w:pPr>
        <w:pStyle w:val="Tekstpodstawowy"/>
        <w:spacing w:before="120" w:line="26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00000A3" w14:textId="52BC34B6" w:rsidR="001C5D72" w:rsidRDefault="00481726" w:rsidP="00556659">
      <w:pPr>
        <w:spacing w:line="319" w:lineRule="auto"/>
        <w:jc w:val="both"/>
        <w:rPr>
          <w:rFonts w:asciiTheme="majorHAnsi" w:hAnsiTheme="majorHAnsi" w:cstheme="majorHAnsi"/>
        </w:rPr>
      </w:pPr>
      <w:r>
        <w:rPr>
          <w:rFonts w:asciiTheme="majorHAnsi" w:hAnsiTheme="majorHAnsi" w:cstheme="majorHAnsi"/>
          <w:b/>
          <w:bCs/>
        </w:rPr>
        <w:t>5</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w:t>
      </w:r>
      <w:proofErr w:type="spellStart"/>
      <w:r w:rsidR="00CB268F" w:rsidRPr="00A258D6">
        <w:rPr>
          <w:rFonts w:asciiTheme="majorHAnsi" w:hAnsiTheme="majorHAnsi" w:cstheme="majorHAnsi"/>
        </w:rPr>
        <w:t>Pzp</w:t>
      </w:r>
      <w:proofErr w:type="spellEnd"/>
      <w:r w:rsidR="00CB268F" w:rsidRPr="00A258D6">
        <w:rPr>
          <w:rFonts w:asciiTheme="majorHAnsi" w:hAnsiTheme="majorHAnsi" w:cstheme="majorHAnsi"/>
        </w:rPr>
        <w:t xml:space="preserve">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lastRenderedPageBreak/>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20" w:name="_Toc65495856"/>
      <w:r w:rsidRPr="00A258D6">
        <w:rPr>
          <w:rFonts w:asciiTheme="majorHAnsi" w:hAnsiTheme="majorHAnsi" w:cstheme="majorHAnsi"/>
          <w:b/>
          <w:bCs/>
          <w:sz w:val="22"/>
          <w:szCs w:val="22"/>
        </w:rPr>
        <w:t>XI. Poleganie na zasobach innych podmiotów</w:t>
      </w:r>
      <w:bookmarkEnd w:id="20"/>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4158D5B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E95F17">
        <w:rPr>
          <w:rFonts w:asciiTheme="majorHAnsi" w:hAnsiTheme="majorHAnsi" w:cstheme="majorHAnsi"/>
          <w:b/>
        </w:rPr>
        <w:t>6</w:t>
      </w:r>
      <w:r w:rsidRPr="00A258D6">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lastRenderedPageBreak/>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1" w:name="_Hlk65499459"/>
      <w:r w:rsidRPr="00A258D6">
        <w:rPr>
          <w:rFonts w:asciiTheme="majorHAnsi" w:hAnsiTheme="majorHAnsi" w:cstheme="majorHAnsi"/>
        </w:rPr>
        <w:t xml:space="preserve">Wykonawca powołuje się na jego zasoby, </w:t>
      </w:r>
      <w:bookmarkEnd w:id="21"/>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2"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22"/>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B315DF7"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3" w:name="_Hlk63772459"/>
      <w:r w:rsidRPr="00A258D6">
        <w:rPr>
          <w:rFonts w:asciiTheme="majorHAnsi" w:hAnsiTheme="majorHAnsi" w:cstheme="majorHAnsi"/>
        </w:rPr>
        <w:t xml:space="preserve">Wykonawcy wspólnie ubiegający się o udzielenie zamówienia dołączają do oferty </w:t>
      </w:r>
      <w:bookmarkStart w:id="24"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 xml:space="preserve">załącznik nr </w:t>
      </w:r>
      <w:r w:rsidR="00E95F17">
        <w:rPr>
          <w:rFonts w:asciiTheme="majorHAnsi" w:hAnsiTheme="majorHAnsi" w:cstheme="majorHAnsi"/>
          <w:b/>
          <w:bCs/>
        </w:rPr>
        <w:t>7</w:t>
      </w:r>
      <w:r w:rsidR="00C35BEF" w:rsidRPr="00A258D6">
        <w:rPr>
          <w:rFonts w:asciiTheme="majorHAnsi" w:hAnsiTheme="majorHAnsi" w:cstheme="majorHAnsi"/>
          <w:b/>
          <w:bCs/>
        </w:rPr>
        <w:t xml:space="preserve"> do SWZ.</w:t>
      </w:r>
    </w:p>
    <w:bookmarkEnd w:id="23"/>
    <w:bookmarkEnd w:id="24"/>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5" w:name="_Toc65495858"/>
      <w:bookmarkStart w:id="26"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25"/>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27"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 xml:space="preserve">Przez środki komunikacji elektronicznej rozumie się </w:t>
      </w:r>
      <w:r w:rsidR="00FD79DF" w:rsidRPr="00A258D6">
        <w:rPr>
          <w:rFonts w:asciiTheme="majorHAnsi" w:hAnsiTheme="majorHAnsi" w:cstheme="majorHAnsi"/>
        </w:rPr>
        <w:lastRenderedPageBreak/>
        <w:t>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8"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28"/>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29"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9"/>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2FAF29" w14:textId="77777777" w:rsidR="00E7717C" w:rsidRPr="00A258D6" w:rsidRDefault="00E7717C"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F76792">
      <w:pPr>
        <w:pStyle w:val="Akapitzlist"/>
        <w:numPr>
          <w:ilvl w:val="0"/>
          <w:numId w:val="33"/>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7"/>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BE2F839" w:rsidR="00897FAC" w:rsidRDefault="00FC4AB9" w:rsidP="00897FAC">
      <w:pPr>
        <w:pStyle w:val="Nagwek2"/>
        <w:spacing w:before="0" w:after="0" w:line="240" w:lineRule="auto"/>
        <w:jc w:val="both"/>
        <w:rPr>
          <w:rFonts w:asciiTheme="majorHAnsi" w:hAnsiTheme="majorHAnsi" w:cstheme="majorHAnsi"/>
          <w:b/>
          <w:bCs/>
          <w:sz w:val="24"/>
          <w:szCs w:val="24"/>
        </w:rPr>
      </w:pPr>
      <w:bookmarkStart w:id="30" w:name="_Toc65495859"/>
      <w:bookmarkStart w:id="31" w:name="_Hlk66110879"/>
      <w:r w:rsidRPr="00897FAC">
        <w:rPr>
          <w:rFonts w:asciiTheme="majorHAnsi" w:hAnsiTheme="majorHAnsi" w:cstheme="majorHAnsi"/>
          <w:b/>
          <w:bCs/>
          <w:sz w:val="24"/>
          <w:szCs w:val="24"/>
        </w:rPr>
        <w:t>XIV. Opis sposobu przygotowania ofert oraz dokumentów wymaganych przez Zamawiającego w SWZ</w:t>
      </w:r>
      <w:bookmarkEnd w:id="30"/>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lastRenderedPageBreak/>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2" w:name="_Hlk65238743"/>
      <w:r w:rsidR="002F286A" w:rsidRPr="00A258D6">
        <w:rPr>
          <w:rFonts w:asciiTheme="majorHAnsi" w:hAnsiTheme="majorHAnsi" w:cstheme="majorHAnsi"/>
        </w:rPr>
        <w:t xml:space="preserve">oświadczenie o niepodleganiu wykluczeniu składa </w:t>
      </w:r>
      <w:bookmarkEnd w:id="32"/>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4292B40A"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usługi wykonają poszczególni wykonawcy, według wzoru stanowiącego </w:t>
      </w:r>
      <w:r w:rsidR="00EB3CA2" w:rsidRPr="00481726">
        <w:rPr>
          <w:rFonts w:asciiTheme="majorHAnsi" w:hAnsiTheme="majorHAnsi" w:cstheme="majorHAnsi"/>
          <w:b/>
          <w:bCs/>
        </w:rPr>
        <w:t xml:space="preserve">załącznik nr </w:t>
      </w:r>
      <w:r w:rsidR="00E95F17">
        <w:rPr>
          <w:rFonts w:asciiTheme="majorHAnsi" w:hAnsiTheme="majorHAnsi" w:cstheme="majorHAnsi"/>
          <w:b/>
          <w:bCs/>
        </w:rPr>
        <w:t>7</w:t>
      </w:r>
      <w:r w:rsidR="00EB3CA2" w:rsidRPr="00481726">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2E3AADDE" w14:textId="24CB1AF5" w:rsidR="002F286A" w:rsidRPr="00A258D6" w:rsidRDefault="00C76D05" w:rsidP="00F76792">
      <w:pPr>
        <w:pStyle w:val="Akapitzlist"/>
        <w:numPr>
          <w:ilvl w:val="1"/>
          <w:numId w:val="31"/>
        </w:numPr>
        <w:spacing w:after="0" w:line="319" w:lineRule="auto"/>
        <w:jc w:val="both"/>
        <w:rPr>
          <w:rFonts w:asciiTheme="majorHAnsi" w:hAnsiTheme="majorHAnsi" w:cstheme="majorHAnsi"/>
          <w:strike/>
        </w:rPr>
      </w:pPr>
      <w:r w:rsidRPr="000A6F80">
        <w:rPr>
          <w:rFonts w:asciiTheme="majorHAnsi" w:hAnsiTheme="majorHAnsi" w:cstheme="majorHAnsi"/>
          <w:b/>
          <w:bCs/>
        </w:rPr>
        <w:t>Oryginał gwarancji lub poręczenia</w:t>
      </w:r>
      <w:r w:rsidRPr="00A258D6">
        <w:rPr>
          <w:rFonts w:asciiTheme="majorHAnsi" w:hAnsiTheme="majorHAnsi" w:cstheme="majorHAnsi"/>
        </w:rPr>
        <w:t xml:space="preserve">, jeżeli wadium jest </w:t>
      </w:r>
      <w:r w:rsidR="00D82F07" w:rsidRPr="00A258D6">
        <w:rPr>
          <w:rFonts w:asciiTheme="majorHAnsi" w:hAnsiTheme="majorHAnsi" w:cstheme="majorHAnsi"/>
        </w:rPr>
        <w:t>wnoszone w innej formie niż pieniądz</w:t>
      </w:r>
      <w:r w:rsidR="004B5B12" w:rsidRPr="00A258D6">
        <w:rPr>
          <w:rFonts w:asciiTheme="majorHAnsi" w:hAnsiTheme="majorHAnsi" w:cstheme="majorHAnsi"/>
        </w:rPr>
        <w:t>.</w:t>
      </w:r>
    </w:p>
    <w:p w14:paraId="691EEF24" w14:textId="659F22BA" w:rsidR="002F286A" w:rsidRPr="00A258D6" w:rsidRDefault="007839A2"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 xml:space="preserve">Odpis </w:t>
      </w:r>
      <w:r w:rsidRPr="00A258D6">
        <w:rPr>
          <w:rFonts w:asciiTheme="majorHAnsi" w:hAnsiTheme="majorHAnsi" w:cstheme="majorHAnsi"/>
        </w:rPr>
        <w:t xml:space="preserve">lub informację z </w:t>
      </w:r>
      <w:r w:rsidRPr="000A6F80">
        <w:rPr>
          <w:rFonts w:asciiTheme="majorHAnsi" w:hAnsiTheme="majorHAnsi" w:cstheme="majorHAnsi"/>
          <w:b/>
          <w:bCs/>
        </w:rPr>
        <w:t>Krajowego Rejestru Sądowego</w:t>
      </w:r>
      <w:r w:rsidRPr="00A258D6">
        <w:rPr>
          <w:rFonts w:asciiTheme="majorHAnsi" w:hAnsiTheme="majorHAnsi" w:cstheme="majorHAnsi"/>
        </w:rPr>
        <w:t xml:space="preserve">, </w:t>
      </w:r>
      <w:r w:rsidRPr="000A6F80">
        <w:rPr>
          <w:rFonts w:asciiTheme="majorHAnsi" w:hAnsiTheme="majorHAnsi" w:cstheme="majorHAnsi"/>
          <w:b/>
          <w:bCs/>
        </w:rPr>
        <w:t>centralnej Ewidencji i Informacji o Działalności Gospodarczej</w:t>
      </w:r>
      <w:r w:rsidRPr="00A258D6">
        <w:rPr>
          <w:rFonts w:asciiTheme="majorHAnsi" w:hAnsiTheme="majorHAnsi" w:cstheme="majorHAnsi"/>
        </w:rPr>
        <w:t xml:space="preserve"> lub innego właściwego rejestru, </w:t>
      </w:r>
      <w:r w:rsidR="00E93BFA" w:rsidRPr="00A258D6">
        <w:rPr>
          <w:rFonts w:asciiTheme="majorHAnsi" w:hAnsiTheme="majorHAnsi" w:cstheme="majorHAnsi"/>
        </w:rPr>
        <w:t>potwierdzający umocowanie do reprezentowania Wykonawcy, w celu potwierdzenia, że osoba działająca w imieniu Wykonawcy jest umocowana do jego reprezentowania.</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3A976F5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E97C362" w14:textId="3999C1D5" w:rsidR="00897FAC" w:rsidRDefault="00897FAC" w:rsidP="00F76792">
      <w:pPr>
        <w:pStyle w:val="Akapitzlist"/>
        <w:numPr>
          <w:ilvl w:val="1"/>
          <w:numId w:val="31"/>
        </w:numPr>
        <w:spacing w:after="0" w:line="319" w:lineRule="auto"/>
        <w:jc w:val="both"/>
        <w:rPr>
          <w:rFonts w:asciiTheme="majorHAnsi" w:hAnsiTheme="majorHAnsi" w:cstheme="majorHAnsi"/>
        </w:rPr>
      </w:pPr>
      <w:r w:rsidRPr="00F046CE">
        <w:rPr>
          <w:rFonts w:asciiTheme="majorHAnsi" w:hAnsiTheme="majorHAnsi" w:cstheme="majorHAnsi"/>
        </w:rPr>
        <w:t xml:space="preserve"> </w:t>
      </w:r>
      <w:r w:rsidRPr="00F046CE">
        <w:rPr>
          <w:rFonts w:asciiTheme="majorHAnsi" w:hAnsiTheme="majorHAnsi" w:cstheme="majorHAnsi"/>
          <w:b/>
          <w:bCs/>
        </w:rPr>
        <w:t>Wykaz rozwiązań równoważnych</w:t>
      </w:r>
      <w:r>
        <w:rPr>
          <w:rFonts w:asciiTheme="majorHAnsi" w:hAnsiTheme="majorHAnsi" w:cstheme="majorHAnsi"/>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11408D3" w14:textId="77777777" w:rsidR="00897FAC" w:rsidRPr="00897FAC" w:rsidRDefault="00897FAC" w:rsidP="00897FAC">
      <w:pPr>
        <w:pStyle w:val="Akapitzlist"/>
        <w:spacing w:after="0" w:line="319" w:lineRule="auto"/>
        <w:ind w:left="1080"/>
        <w:jc w:val="both"/>
        <w:rPr>
          <w:rFonts w:asciiTheme="majorHAnsi" w:hAnsiTheme="majorHAnsi" w:cstheme="majorHAnsi"/>
        </w:rPr>
      </w:pPr>
    </w:p>
    <w:p w14:paraId="44857C5C" w14:textId="69B157D9" w:rsidR="00D82F07" w:rsidRPr="00A258D6" w:rsidRDefault="00D82F07" w:rsidP="00F76792">
      <w:pPr>
        <w:pStyle w:val="NormalnyWeb"/>
        <w:numPr>
          <w:ilvl w:val="0"/>
          <w:numId w:val="31"/>
        </w:numPr>
        <w:jc w:val="both"/>
        <w:textAlignment w:val="baseline"/>
        <w:rPr>
          <w:rFonts w:asciiTheme="majorHAnsi" w:hAnsiTheme="majorHAnsi" w:cstheme="majorHAnsi"/>
          <w:sz w:val="22"/>
          <w:szCs w:val="22"/>
        </w:rPr>
      </w:pPr>
      <w:bookmarkStart w:id="33"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77777777"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Wykonawca przekazuje w postaci elektronicznej i opatruje 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1"/>
    <w:bookmarkEnd w:id="33"/>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76792">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 xml:space="preserve">Wszelkie informacje stanowiące tajemnice przedsiębiorstwa w rozumieniu ustawy z dnia 16 kwietnia 1993r. o zwalczaniu nieuczciwej konkurencji (Dz. U. z 2019r. poz. 1010), które </w:t>
      </w:r>
      <w:r w:rsidRPr="00A258D6">
        <w:rPr>
          <w:rFonts w:asciiTheme="majorHAnsi" w:hAnsiTheme="majorHAnsi" w:cstheme="majorHAnsi"/>
        </w:rPr>
        <w:lastRenderedPageBreak/>
        <w:t>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76792">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6A0AC3"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4" w:name="_Toc65495860"/>
      <w:bookmarkEnd w:id="26"/>
      <w:r w:rsidRPr="000A6F80">
        <w:rPr>
          <w:rFonts w:asciiTheme="majorHAnsi" w:hAnsiTheme="majorHAnsi" w:cstheme="majorHAnsi"/>
          <w:b/>
          <w:bCs/>
          <w:sz w:val="24"/>
          <w:szCs w:val="24"/>
        </w:rPr>
        <w:t>XV. Sposób obliczania ceny oferty</w:t>
      </w:r>
      <w:bookmarkEnd w:id="34"/>
    </w:p>
    <w:p w14:paraId="435A3BB1" w14:textId="5770A918" w:rsidR="0013799C" w:rsidRPr="0013799C" w:rsidRDefault="0013799C" w:rsidP="00F76792">
      <w:pPr>
        <w:pStyle w:val="Akapitzlist"/>
        <w:numPr>
          <w:ilvl w:val="1"/>
          <w:numId w:val="35"/>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1 </w:t>
      </w:r>
      <w:r w:rsidRPr="0013799C">
        <w:rPr>
          <w:rFonts w:asciiTheme="majorHAnsi" w:eastAsia="Times New Roman" w:hAnsiTheme="majorHAnsi" w:cstheme="majorHAnsi"/>
        </w:rPr>
        <w:t>do SIWZ,  ceny ofertowej netto, stawki podatku VAT oraz ceny ofertowej brutto za realizację przedmiotu zamówienia.</w:t>
      </w:r>
    </w:p>
    <w:p w14:paraId="77B0E025"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6E00DA6"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r w:rsidR="002E15EE">
        <w:rPr>
          <w:rFonts w:asciiTheme="majorHAnsi" w:eastAsia="Times New Roman" w:hAnsiTheme="majorHAnsi" w:cstheme="majorHAnsi"/>
        </w:rPr>
        <w:t>.</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5"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6"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6"/>
    </w:p>
    <w:bookmarkEnd w:id="35"/>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lastRenderedPageBreak/>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3377E210"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7" w:name="_Toc65495861"/>
      <w:r w:rsidRPr="00A258D6">
        <w:rPr>
          <w:rFonts w:asciiTheme="majorHAnsi" w:hAnsiTheme="majorHAnsi" w:cstheme="majorHAnsi"/>
          <w:b/>
          <w:bCs/>
          <w:sz w:val="22"/>
          <w:szCs w:val="22"/>
        </w:rPr>
        <w:t>XVI. Wymagania dotyczące wadium</w:t>
      </w:r>
      <w:bookmarkEnd w:id="37"/>
    </w:p>
    <w:p w14:paraId="76D4BE93" w14:textId="30DF18CF" w:rsidR="00850AC6" w:rsidRPr="00A258D6" w:rsidRDefault="00FC4AB9" w:rsidP="00F76792">
      <w:pPr>
        <w:numPr>
          <w:ilvl w:val="3"/>
          <w:numId w:val="2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r w:rsidR="002E15EE">
        <w:rPr>
          <w:rFonts w:asciiTheme="majorHAnsi" w:hAnsiTheme="majorHAnsi" w:cstheme="majorHAnsi"/>
          <w:b/>
          <w:bCs/>
        </w:rPr>
        <w:t>4</w:t>
      </w:r>
      <w:r w:rsidR="0013799C" w:rsidRPr="0013799C">
        <w:rPr>
          <w:rFonts w:asciiTheme="majorHAnsi" w:hAnsiTheme="majorHAnsi" w:cstheme="majorHAnsi"/>
          <w:b/>
          <w:bCs/>
        </w:rPr>
        <w:t>.000,00 zł</w:t>
      </w:r>
      <w:r w:rsidR="0013799C">
        <w:rPr>
          <w:rFonts w:asciiTheme="majorHAnsi" w:hAnsiTheme="majorHAnsi" w:cstheme="majorHAnsi"/>
        </w:rPr>
        <w:t xml:space="preserve"> </w:t>
      </w:r>
    </w:p>
    <w:p w14:paraId="000000E8" w14:textId="77777777" w:rsidR="001C5D72" w:rsidRPr="00A258D6" w:rsidRDefault="00FC4AB9" w:rsidP="00F76792">
      <w:pPr>
        <w:numPr>
          <w:ilvl w:val="3"/>
          <w:numId w:val="22"/>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000000E9" w14:textId="77777777" w:rsidR="001C5D72" w:rsidRPr="00A258D6" w:rsidRDefault="00FC4AB9" w:rsidP="00F76792">
      <w:pPr>
        <w:numPr>
          <w:ilvl w:val="3"/>
          <w:numId w:val="22"/>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000000EA" w14:textId="77777777"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000000EB" w14:textId="77777777"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000000EC" w14:textId="77777777"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000000ED" w14:textId="0F50214B"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001C7733" w:rsidRPr="00A258D6">
        <w:rPr>
          <w:rFonts w:asciiTheme="majorHAnsi" w:hAnsiTheme="majorHAnsi" w:cstheme="majorHAnsi"/>
        </w:rPr>
        <w:t>t.j.</w:t>
      </w:r>
      <w:r w:rsidRPr="00A258D6">
        <w:rPr>
          <w:rFonts w:asciiTheme="majorHAnsi" w:hAnsiTheme="majorHAnsi" w:cstheme="majorHAnsi"/>
        </w:rPr>
        <w:t>Dz</w:t>
      </w:r>
      <w:proofErr w:type="spellEnd"/>
      <w:r w:rsidRPr="00A258D6">
        <w:rPr>
          <w:rFonts w:asciiTheme="majorHAnsi" w:hAnsiTheme="majorHAnsi" w:cstheme="majorHAnsi"/>
        </w:rPr>
        <w:t>. U. z 2020 r. poz. 299).</w:t>
      </w:r>
    </w:p>
    <w:p w14:paraId="000000EE" w14:textId="7267FD8B" w:rsidR="001C5D72" w:rsidRPr="00A258D6" w:rsidRDefault="00FC4AB9" w:rsidP="00F76792">
      <w:pPr>
        <w:numPr>
          <w:ilvl w:val="3"/>
          <w:numId w:val="22"/>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00850AC6" w:rsidRPr="00A258D6">
        <w:rPr>
          <w:rFonts w:asciiTheme="majorHAnsi" w:eastAsia="Times New Roman" w:hAnsiTheme="majorHAnsi" w:cstheme="majorHAnsi"/>
          <w:b/>
          <w:bCs/>
        </w:rPr>
        <w:t>Poznański Bank Spółdzielczy  w Poznaniu Oddział w Dopiewie</w:t>
      </w:r>
      <w:r w:rsidR="00850AC6" w:rsidRPr="00A258D6">
        <w:rPr>
          <w:rFonts w:asciiTheme="majorHAnsi" w:hAnsiTheme="majorHAnsi" w:cstheme="majorHAnsi"/>
          <w:smallCaps/>
        </w:rPr>
        <w:t xml:space="preserve"> </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00850AC6"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 xml:space="preserve">Wadium – </w:t>
      </w:r>
      <w:r w:rsidR="00850AC6" w:rsidRPr="00A258D6">
        <w:rPr>
          <w:rFonts w:asciiTheme="majorHAnsi" w:hAnsiTheme="majorHAnsi" w:cstheme="majorHAnsi"/>
          <w:b/>
          <w:bCs/>
        </w:rPr>
        <w:t>ROA.271.</w:t>
      </w:r>
      <w:r w:rsidR="002E15EE">
        <w:rPr>
          <w:rFonts w:asciiTheme="majorHAnsi" w:hAnsiTheme="majorHAnsi" w:cstheme="majorHAnsi"/>
          <w:b/>
          <w:bCs/>
        </w:rPr>
        <w:t>8</w:t>
      </w:r>
      <w:r w:rsidR="00850AC6" w:rsidRPr="00A258D6">
        <w:rPr>
          <w:rFonts w:asciiTheme="majorHAnsi" w:hAnsiTheme="majorHAnsi" w:cstheme="majorHAnsi"/>
          <w:b/>
          <w:bCs/>
        </w:rPr>
        <w:t xml:space="preserve">.2021 </w:t>
      </w:r>
      <w:r w:rsidR="002E15EE">
        <w:rPr>
          <w:rFonts w:asciiTheme="majorHAnsi" w:hAnsiTheme="majorHAnsi" w:cstheme="majorHAnsi"/>
          <w:b/>
          <w:bCs/>
        </w:rPr>
        <w:t>Remont dachu SP w Dąbrówce</w:t>
      </w:r>
      <w:r w:rsidRPr="00A258D6">
        <w:rPr>
          <w:rFonts w:asciiTheme="majorHAnsi" w:hAnsiTheme="majorHAnsi" w:cstheme="majorHAnsi"/>
          <w:b/>
          <w:bCs/>
        </w:rPr>
        <w:t>”.</w:t>
      </w:r>
    </w:p>
    <w:p w14:paraId="77428A2E" w14:textId="0F1B59E4" w:rsidR="00850AC6" w:rsidRPr="00A258D6" w:rsidRDefault="00850AC6" w:rsidP="00881111">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 xml:space="preserve">Skuteczne wniesienie wadium w pieniądzu następuje z chwilą uznania środków pieniężnych na rachunku bankowym Zamawiającego, o którym mowa w pkt. </w:t>
      </w:r>
      <w:r w:rsidR="006C4D15" w:rsidRPr="00A258D6">
        <w:rPr>
          <w:rFonts w:asciiTheme="majorHAnsi" w:eastAsia="Times New Roman" w:hAnsiTheme="majorHAnsi" w:cstheme="majorHAnsi"/>
        </w:rPr>
        <w:t>4</w:t>
      </w:r>
      <w:r w:rsidRPr="00A258D6">
        <w:rPr>
          <w:rFonts w:asciiTheme="majorHAnsi" w:eastAsia="Times New Roman" w:hAnsiTheme="majorHAnsi" w:cstheme="majorHAnsi"/>
        </w:rPr>
        <w:t>, przed upływem terminu składania ofert (tj. przed upływem dnia i godziny wyznaczonej jako ostateczny termin składania ofert).</w:t>
      </w:r>
    </w:p>
    <w:p w14:paraId="4F605E56" w14:textId="3F0FE7E1" w:rsidR="003A508C" w:rsidRPr="00A258D6" w:rsidRDefault="003A508C" w:rsidP="003A508C">
      <w:pPr>
        <w:spacing w:line="319" w:lineRule="auto"/>
        <w:jc w:val="both"/>
        <w:rPr>
          <w:rFonts w:asciiTheme="majorHAnsi" w:hAnsiTheme="majorHAnsi" w:cstheme="majorHAnsi"/>
          <w:strike/>
        </w:rPr>
      </w:pPr>
    </w:p>
    <w:p w14:paraId="63E4EACC" w14:textId="77777777" w:rsidR="00DE40E4" w:rsidRPr="00A258D6" w:rsidRDefault="00675C16"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lastRenderedPageBreak/>
        <w:t>5.</w:t>
      </w:r>
      <w:r w:rsidRPr="00A258D6">
        <w:rPr>
          <w:rFonts w:asciiTheme="majorHAnsi" w:hAnsiTheme="majorHAnsi" w:cstheme="majorHAnsi"/>
          <w:color w:val="000000" w:themeColor="text1"/>
        </w:rPr>
        <w:t xml:space="preserve"> </w:t>
      </w:r>
      <w:r w:rsidR="003A508C" w:rsidRPr="00A258D6">
        <w:rPr>
          <w:rFonts w:asciiTheme="majorHAnsi" w:hAnsiTheme="majorHAnsi" w:cstheme="majorHAnsi"/>
          <w:color w:val="000000" w:themeColor="text1"/>
        </w:rPr>
        <w:t xml:space="preserve">Jeżeli wadium jest wnoszone w formie gwarancji lub poręczenia Wykonawca przekazuje Zamawiającemu oryginał gwarancji lub poręczenia w postaci elektronicznej. </w:t>
      </w:r>
    </w:p>
    <w:p w14:paraId="24FE6542" w14:textId="6B7EDCD3" w:rsidR="002A1844" w:rsidRPr="00A258D6" w:rsidRDefault="00DE40E4"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t>
      </w:r>
      <w:r w:rsidR="003A508C" w:rsidRPr="00A258D6">
        <w:rPr>
          <w:rFonts w:asciiTheme="majorHAnsi" w:hAnsiTheme="majorHAnsi" w:cstheme="majorHAnsi"/>
          <w:color w:val="000000" w:themeColor="text1"/>
        </w:rPr>
        <w:t xml:space="preserve">Wadium takie musi obejmować cały okres związania ofertą. </w:t>
      </w:r>
    </w:p>
    <w:p w14:paraId="05924A3A" w14:textId="750C400B" w:rsidR="002A1844" w:rsidRPr="00A258D6" w:rsidRDefault="00DE40E4"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w:t>
      </w:r>
      <w:r w:rsidR="003A508C" w:rsidRPr="00A258D6">
        <w:rPr>
          <w:rFonts w:asciiTheme="majorHAnsi" w:hAnsiTheme="majorHAnsi" w:cstheme="majorHAnsi"/>
          <w:color w:val="000000" w:themeColor="text1"/>
        </w:rPr>
        <w:t xml:space="preserve">Treść gwarancji lub poręczenia nie może zawierać postanowień uzależniających jego dalsze obowiązywanie od zwrotu oryginału dokumentu gwarancyjnego do gwaranta. </w:t>
      </w:r>
    </w:p>
    <w:p w14:paraId="603F6606" w14:textId="42E2A569" w:rsidR="003A508C" w:rsidRPr="00A258D6" w:rsidRDefault="00DE40E4"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c) </w:t>
      </w:r>
      <w:r w:rsidR="003A508C" w:rsidRPr="00A258D6">
        <w:rPr>
          <w:rFonts w:asciiTheme="majorHAnsi" w:hAnsiTheme="majorHAnsi" w:cstheme="majorHAnsi"/>
          <w:color w:val="000000" w:themeColor="text1"/>
        </w:rPr>
        <w:t>Jako Beneficjenta wadium wnoszonego w formie poręczeń lub gwarancji należy wskazać – Gminę Dopiewo.</w:t>
      </w:r>
    </w:p>
    <w:p w14:paraId="1C2834DA" w14:textId="209C0199" w:rsidR="00F434F3" w:rsidRPr="00571FA8" w:rsidRDefault="00DE40E4" w:rsidP="003A508C">
      <w:pPr>
        <w:spacing w:line="319" w:lineRule="auto"/>
        <w:jc w:val="both"/>
        <w:rPr>
          <w:rFonts w:asciiTheme="majorHAnsi" w:hAnsiTheme="majorHAnsi" w:cstheme="majorHAnsi"/>
          <w:b/>
          <w:bCs/>
          <w:strike/>
        </w:rPr>
      </w:pPr>
      <w:r w:rsidRPr="00A258D6">
        <w:rPr>
          <w:rFonts w:asciiTheme="majorHAnsi" w:hAnsiTheme="majorHAnsi" w:cstheme="majorHAnsi"/>
        </w:rPr>
        <w:t xml:space="preserve">d) </w:t>
      </w:r>
      <w:r w:rsidR="00F434F3" w:rsidRPr="00571FA8">
        <w:rPr>
          <w:rFonts w:asciiTheme="majorHAnsi" w:hAnsiTheme="majorHAnsi" w:cstheme="majorHAnsi"/>
          <w:b/>
          <w:bCs/>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571FA8">
        <w:rPr>
          <w:rFonts w:asciiTheme="majorHAnsi" w:hAnsiTheme="majorHAnsi" w:cstheme="majorHAnsi"/>
          <w:b/>
          <w:bCs/>
        </w:rPr>
        <w:t>.</w:t>
      </w:r>
    </w:p>
    <w:p w14:paraId="27C33FF2" w14:textId="14580B6E" w:rsidR="00675C16" w:rsidRPr="00A258D6" w:rsidRDefault="0051444A"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e) </w:t>
      </w:r>
      <w:r w:rsidR="003A508C" w:rsidRPr="00A258D6">
        <w:rPr>
          <w:rFonts w:asciiTheme="majorHAnsi" w:hAnsiTheme="majorHAnsi" w:cstheme="majorHAnsi"/>
          <w:color w:val="000000" w:themeColor="text1"/>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t>
      </w:r>
    </w:p>
    <w:p w14:paraId="6BA522E8" w14:textId="217B3C17" w:rsidR="00675C16" w:rsidRPr="00A258D6" w:rsidRDefault="00790CC7"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w:t>
      </w:r>
      <w:r w:rsidR="003A508C" w:rsidRPr="00A258D6">
        <w:rPr>
          <w:rFonts w:asciiTheme="majorHAnsi" w:hAnsiTheme="majorHAnsi" w:cstheme="majorHAnsi"/>
          <w:color w:val="000000" w:themeColor="text1"/>
        </w:rPr>
        <w:t xml:space="preserve">Gwarancja lub poręczenie musi zawierać w swojej treści nieodwołalne i bezwarunkowe zobowiązanie wystawcy dokumentu do zapłaty na rzecz Zamawiającego kwoty wadium płatne na pierwsze pisemne żądanie Zamawiającego. </w:t>
      </w:r>
    </w:p>
    <w:p w14:paraId="2B92C3AC" w14:textId="20230D10" w:rsidR="002A1844" w:rsidRPr="00A258D6" w:rsidRDefault="00790CC7"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t>
      </w:r>
      <w:r w:rsidR="003A508C" w:rsidRPr="00A258D6">
        <w:rPr>
          <w:rFonts w:asciiTheme="majorHAnsi" w:hAnsiTheme="majorHAnsi" w:cstheme="majorHAnsi"/>
          <w:color w:val="000000" w:themeColor="text1"/>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04CB9DA9" w14:textId="23760741" w:rsidR="003A508C" w:rsidRPr="00A258D6" w:rsidRDefault="008D24DE"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h) </w:t>
      </w:r>
      <w:r w:rsidR="003A508C" w:rsidRPr="00A258D6">
        <w:rPr>
          <w:rFonts w:asciiTheme="majorHAnsi" w:hAnsiTheme="majorHAnsi" w:cstheme="majorHAnsi"/>
          <w:color w:val="000000" w:themeColor="text1"/>
        </w:rPr>
        <w:t xml:space="preserve">Zamawiający dokona zwrotu wadium na zasadach określonych w art. 98 ust. 1 i 2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4010C877" w14:textId="00DED1C8" w:rsidR="002A1844" w:rsidRPr="00A258D6" w:rsidRDefault="008D24DE"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i) </w:t>
      </w:r>
      <w:r w:rsidR="003A508C" w:rsidRPr="00A258D6">
        <w:rPr>
          <w:rFonts w:asciiTheme="majorHAnsi" w:hAnsiTheme="majorHAnsi" w:cstheme="majorHAnsi"/>
          <w:color w:val="000000" w:themeColor="text1"/>
        </w:rPr>
        <w:t>Zamawiający zwróci wadium wniesione w innej formie niż w pieniądzu poprzez złożenie gwarantowi lub poręczycielowi oświadczenia o zwolnieniu wadium.</w:t>
      </w:r>
    </w:p>
    <w:p w14:paraId="09808609" w14:textId="7F3A6D7E" w:rsidR="002A1844" w:rsidRPr="00874229" w:rsidRDefault="008D24DE" w:rsidP="003A508C">
      <w:pPr>
        <w:spacing w:line="319" w:lineRule="auto"/>
        <w:jc w:val="both"/>
        <w:rPr>
          <w:rFonts w:asciiTheme="majorHAnsi" w:hAnsiTheme="majorHAnsi" w:cstheme="majorHAnsi"/>
          <w:color w:val="000000" w:themeColor="text1"/>
          <w:u w:val="single"/>
        </w:rPr>
      </w:pPr>
      <w:r w:rsidRPr="00A258D6">
        <w:rPr>
          <w:rFonts w:asciiTheme="majorHAnsi" w:hAnsiTheme="majorHAnsi" w:cstheme="majorHAnsi"/>
          <w:color w:val="000000" w:themeColor="text1"/>
        </w:rPr>
        <w:t xml:space="preserve">j) </w:t>
      </w:r>
      <w:r w:rsidR="003A508C" w:rsidRPr="00874229">
        <w:rPr>
          <w:rFonts w:asciiTheme="majorHAnsi" w:hAnsiTheme="majorHAnsi" w:cstheme="majorHAnsi"/>
          <w:color w:val="000000" w:themeColor="text1"/>
          <w:u w:val="single"/>
        </w:rPr>
        <w:t xml:space="preserve">Zaleca się, aby poręczenie lub gwarancja wskazywały adres mailowy </w:t>
      </w:r>
      <w:r w:rsidR="002A1844" w:rsidRPr="00874229">
        <w:rPr>
          <w:rFonts w:asciiTheme="majorHAnsi" w:hAnsiTheme="majorHAnsi" w:cstheme="majorHAnsi"/>
          <w:color w:val="000000" w:themeColor="text1"/>
          <w:u w:val="single"/>
        </w:rPr>
        <w:t xml:space="preserve">lub pocztowy </w:t>
      </w:r>
      <w:r w:rsidR="003A508C" w:rsidRPr="00874229">
        <w:rPr>
          <w:rFonts w:asciiTheme="majorHAnsi" w:hAnsiTheme="majorHAnsi" w:cstheme="majorHAnsi"/>
          <w:color w:val="000000" w:themeColor="text1"/>
          <w:u w:val="single"/>
        </w:rPr>
        <w:t xml:space="preserve">na jaki Zamawiający winien składać oświadczenie o zwolnieniu wadium, o którym mowa w art. 98 ust. 5 ustawy </w:t>
      </w:r>
      <w:proofErr w:type="spellStart"/>
      <w:r w:rsidR="003A508C" w:rsidRPr="00874229">
        <w:rPr>
          <w:rFonts w:asciiTheme="majorHAnsi" w:hAnsiTheme="majorHAnsi" w:cstheme="majorHAnsi"/>
          <w:color w:val="000000" w:themeColor="text1"/>
          <w:u w:val="single"/>
        </w:rPr>
        <w:t>Pzp</w:t>
      </w:r>
      <w:proofErr w:type="spellEnd"/>
      <w:r w:rsidR="003A508C" w:rsidRPr="00874229">
        <w:rPr>
          <w:rFonts w:asciiTheme="majorHAnsi" w:hAnsiTheme="majorHAnsi" w:cstheme="majorHAnsi"/>
          <w:color w:val="000000" w:themeColor="text1"/>
          <w:u w:val="single"/>
        </w:rPr>
        <w:t xml:space="preserve">. </w:t>
      </w:r>
    </w:p>
    <w:p w14:paraId="7F877FD8" w14:textId="77777777" w:rsidR="008D24DE" w:rsidRPr="00A258D6" w:rsidRDefault="008D24DE" w:rsidP="003A508C">
      <w:pPr>
        <w:spacing w:line="319" w:lineRule="auto"/>
        <w:jc w:val="both"/>
        <w:rPr>
          <w:rFonts w:asciiTheme="majorHAnsi" w:hAnsiTheme="majorHAnsi" w:cstheme="majorHAnsi"/>
          <w:color w:val="000000" w:themeColor="text1"/>
          <w:highlight w:val="yellow"/>
        </w:rPr>
      </w:pPr>
    </w:p>
    <w:p w14:paraId="75F4B762" w14:textId="0C407217" w:rsidR="003A508C" w:rsidRPr="00A258D6" w:rsidRDefault="003A508C"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1F659022" w14:textId="77777777" w:rsidR="008D24DE" w:rsidRPr="00A258D6" w:rsidRDefault="008D24DE" w:rsidP="003A508C">
      <w:pPr>
        <w:spacing w:line="319" w:lineRule="auto"/>
        <w:jc w:val="both"/>
        <w:rPr>
          <w:rFonts w:asciiTheme="majorHAnsi" w:hAnsiTheme="majorHAnsi" w:cstheme="majorHAnsi"/>
          <w:color w:val="000000" w:themeColor="text1"/>
        </w:rPr>
      </w:pPr>
    </w:p>
    <w:p w14:paraId="000000F8" w14:textId="752DAAAB" w:rsidR="001C5D72" w:rsidRPr="00A258D6" w:rsidRDefault="002A1844" w:rsidP="002A184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lastRenderedPageBreak/>
        <w:t xml:space="preserve">6. </w:t>
      </w:r>
      <w:r w:rsidR="00FC4AB9"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00FC4AB9" w:rsidRPr="00A258D6">
        <w:rPr>
          <w:rFonts w:asciiTheme="majorHAnsi" w:hAnsiTheme="majorHAnsi" w:cstheme="majorHAnsi"/>
          <w:b/>
        </w:rPr>
        <w:t xml:space="preserve"> zostanie odrzucona</w:t>
      </w:r>
      <w:r w:rsidR="00FC4AB9" w:rsidRPr="00A258D6">
        <w:rPr>
          <w:rFonts w:asciiTheme="majorHAnsi" w:hAnsiTheme="majorHAnsi" w:cstheme="majorHAnsi"/>
        </w:rPr>
        <w:t>.</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8" w:name="_Toc65495862"/>
      <w:r w:rsidRPr="00A258D6">
        <w:rPr>
          <w:rFonts w:asciiTheme="majorHAnsi" w:hAnsiTheme="majorHAnsi" w:cstheme="majorHAnsi"/>
          <w:b/>
          <w:bCs/>
          <w:sz w:val="22"/>
          <w:szCs w:val="22"/>
        </w:rPr>
        <w:t>XVII. Termin związania ofertą</w:t>
      </w:r>
      <w:bookmarkEnd w:id="38"/>
    </w:p>
    <w:p w14:paraId="000000FB" w14:textId="2FD889EC"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1767E2" w:rsidRPr="00782C76">
        <w:rPr>
          <w:rFonts w:asciiTheme="majorHAnsi" w:hAnsiTheme="majorHAnsi" w:cstheme="majorHAnsi"/>
          <w:b/>
          <w:bCs/>
          <w:highlight w:val="yellow"/>
        </w:rPr>
        <w:t>0</w:t>
      </w:r>
      <w:r w:rsidR="00C72BF4">
        <w:rPr>
          <w:rFonts w:asciiTheme="majorHAnsi" w:hAnsiTheme="majorHAnsi" w:cstheme="majorHAnsi"/>
          <w:b/>
          <w:bCs/>
          <w:highlight w:val="yellow"/>
        </w:rPr>
        <w:t>7</w:t>
      </w:r>
      <w:r w:rsidR="000805AA" w:rsidRPr="00782C76">
        <w:rPr>
          <w:rFonts w:asciiTheme="majorHAnsi" w:hAnsiTheme="majorHAnsi" w:cstheme="majorHAnsi"/>
          <w:b/>
          <w:bCs/>
          <w:highlight w:val="yellow"/>
        </w:rPr>
        <w:t>.0</w:t>
      </w:r>
      <w:r w:rsidR="00571FA8">
        <w:rPr>
          <w:rFonts w:asciiTheme="majorHAnsi" w:hAnsiTheme="majorHAnsi" w:cstheme="majorHAnsi"/>
          <w:b/>
          <w:bCs/>
          <w:highlight w:val="yellow"/>
        </w:rPr>
        <w:t>8</w:t>
      </w:r>
      <w:r w:rsidR="000805AA" w:rsidRPr="00782C76">
        <w:rPr>
          <w:rFonts w:asciiTheme="majorHAnsi" w:hAnsiTheme="majorHAnsi" w:cstheme="majorHAnsi"/>
          <w:b/>
          <w:bCs/>
          <w:highlight w:val="yellow"/>
        </w:rPr>
        <w:t>.2021</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9"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39"/>
    </w:p>
    <w:p w14:paraId="000000FF" w14:textId="7CE48B3F" w:rsidR="001C5D72" w:rsidRPr="00B8792B" w:rsidRDefault="00FC4AB9" w:rsidP="00F76792">
      <w:pPr>
        <w:pStyle w:val="Akapitzlist"/>
        <w:numPr>
          <w:ilvl w:val="0"/>
          <w:numId w:val="20"/>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C77CD6">
        <w:rPr>
          <w:rFonts w:asciiTheme="majorHAnsi" w:hAnsiTheme="majorHAnsi" w:cstheme="majorHAnsi"/>
          <w:b/>
          <w:bCs/>
        </w:rPr>
        <w:t xml:space="preserve">do </w:t>
      </w:r>
      <w:r w:rsidRPr="00B8792B">
        <w:rPr>
          <w:rFonts w:asciiTheme="majorHAnsi" w:hAnsiTheme="majorHAnsi" w:cstheme="majorHAnsi"/>
          <w:b/>
          <w:bCs/>
        </w:rPr>
        <w:t xml:space="preserve">dnia </w:t>
      </w:r>
      <w:r w:rsidR="007636D0" w:rsidRPr="00B8792B">
        <w:rPr>
          <w:rFonts w:asciiTheme="majorHAnsi" w:hAnsiTheme="majorHAnsi" w:cstheme="majorHAnsi"/>
          <w:b/>
          <w:bCs/>
        </w:rPr>
        <w:t>0</w:t>
      </w:r>
      <w:r w:rsidR="00C72BF4">
        <w:rPr>
          <w:rFonts w:asciiTheme="majorHAnsi" w:hAnsiTheme="majorHAnsi" w:cstheme="majorHAnsi"/>
          <w:b/>
          <w:bCs/>
        </w:rPr>
        <w:t>9</w:t>
      </w:r>
      <w:r w:rsidR="00794557" w:rsidRPr="00B8792B">
        <w:rPr>
          <w:rFonts w:asciiTheme="majorHAnsi" w:hAnsiTheme="majorHAnsi" w:cstheme="majorHAnsi"/>
          <w:b/>
          <w:bCs/>
        </w:rPr>
        <w:t>.0</w:t>
      </w:r>
      <w:r w:rsidR="00571FA8">
        <w:rPr>
          <w:rFonts w:asciiTheme="majorHAnsi" w:hAnsiTheme="majorHAnsi" w:cstheme="majorHAnsi"/>
          <w:b/>
          <w:bCs/>
        </w:rPr>
        <w:t>7</w:t>
      </w:r>
      <w:r w:rsidR="00794557" w:rsidRPr="00B8792B">
        <w:rPr>
          <w:rFonts w:asciiTheme="majorHAnsi" w:hAnsiTheme="majorHAnsi" w:cstheme="majorHAnsi"/>
          <w:b/>
          <w:bCs/>
        </w:rPr>
        <w:t>.</w:t>
      </w:r>
      <w:r w:rsidR="005E6EF7" w:rsidRPr="00B8792B">
        <w:rPr>
          <w:rFonts w:asciiTheme="majorHAnsi" w:hAnsiTheme="majorHAnsi" w:cstheme="majorHAnsi"/>
          <w:b/>
          <w:bCs/>
        </w:rPr>
        <w:t>2021</w:t>
      </w:r>
      <w:r w:rsidR="00B22953" w:rsidRPr="00B8792B">
        <w:rPr>
          <w:rFonts w:asciiTheme="majorHAnsi" w:hAnsiTheme="majorHAnsi" w:cstheme="majorHAnsi"/>
          <w:b/>
          <w:bCs/>
        </w:rPr>
        <w:t xml:space="preserve">r.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0" w:name="_Toc65495864"/>
      <w:r w:rsidRPr="00A258D6">
        <w:rPr>
          <w:rFonts w:asciiTheme="majorHAnsi" w:hAnsiTheme="majorHAnsi" w:cstheme="majorHAnsi"/>
          <w:b/>
          <w:bCs/>
          <w:sz w:val="22"/>
          <w:szCs w:val="22"/>
        </w:rPr>
        <w:t>XIX. Otwarcie ofert</w:t>
      </w:r>
      <w:bookmarkEnd w:id="40"/>
    </w:p>
    <w:p w14:paraId="00000106" w14:textId="479A2241" w:rsidR="001C5D72" w:rsidRPr="00B8792B"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7636D0" w:rsidRPr="00B8792B">
        <w:rPr>
          <w:rFonts w:asciiTheme="majorHAnsi" w:hAnsiTheme="majorHAnsi" w:cstheme="majorHAnsi"/>
          <w:b/>
          <w:bCs/>
        </w:rPr>
        <w:t>0</w:t>
      </w:r>
      <w:r w:rsidR="00C72BF4">
        <w:rPr>
          <w:rFonts w:asciiTheme="majorHAnsi" w:hAnsiTheme="majorHAnsi" w:cstheme="majorHAnsi"/>
          <w:b/>
          <w:bCs/>
        </w:rPr>
        <w:t>9</w:t>
      </w:r>
      <w:r w:rsidR="007636D0" w:rsidRPr="00B8792B">
        <w:rPr>
          <w:rFonts w:asciiTheme="majorHAnsi" w:hAnsiTheme="majorHAnsi" w:cstheme="majorHAnsi"/>
          <w:b/>
          <w:bCs/>
        </w:rPr>
        <w:t>.</w:t>
      </w:r>
      <w:r w:rsidR="007325D7" w:rsidRPr="00B8792B">
        <w:rPr>
          <w:rFonts w:asciiTheme="majorHAnsi" w:hAnsiTheme="majorHAnsi" w:cstheme="majorHAnsi"/>
          <w:b/>
          <w:bCs/>
        </w:rPr>
        <w:t>0</w:t>
      </w:r>
      <w:r w:rsidR="00571FA8">
        <w:rPr>
          <w:rFonts w:asciiTheme="majorHAnsi" w:hAnsiTheme="majorHAnsi" w:cstheme="majorHAnsi"/>
          <w:b/>
          <w:bCs/>
        </w:rPr>
        <w:t>7</w:t>
      </w:r>
      <w:r w:rsidR="007325D7" w:rsidRPr="00B8792B">
        <w:rPr>
          <w:rFonts w:asciiTheme="majorHAnsi" w:hAnsiTheme="majorHAnsi" w:cstheme="majorHAnsi"/>
          <w:b/>
          <w:bCs/>
        </w:rPr>
        <w:t>.</w:t>
      </w:r>
      <w:r w:rsidR="00CE5605" w:rsidRPr="00B8792B">
        <w:rPr>
          <w:rFonts w:asciiTheme="majorHAnsi" w:hAnsiTheme="majorHAnsi" w:cstheme="majorHAnsi"/>
          <w:b/>
          <w:bCs/>
        </w:rPr>
        <w:t>2021 godz. 11.30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41"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41"/>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2"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lastRenderedPageBreak/>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Ocenie zostanie poddana cena brutto za realizację zamówienia, wynikająca z formularza ofertowego. Liczba punktów, którą można uzyskać w tym kryterium zostanie obliczona wg powyższego wzoru.</w:t>
      </w: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554B2D54"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G = (</w:t>
      </w:r>
      <w:proofErr w:type="spellStart"/>
      <w:r w:rsidRPr="00B8688E">
        <w:rPr>
          <w:rFonts w:asciiTheme="majorHAnsi" w:eastAsia="Times New Roman" w:hAnsiTheme="majorHAnsi" w:cstheme="majorHAnsi"/>
          <w:b/>
        </w:rPr>
        <w:t>Gx</w:t>
      </w:r>
      <w:proofErr w:type="spellEnd"/>
      <w:r w:rsidRPr="00B8688E">
        <w:rPr>
          <w:rFonts w:asciiTheme="majorHAnsi" w:eastAsia="Times New Roman" w:hAnsiTheme="majorHAnsi" w:cstheme="majorHAnsi"/>
          <w:b/>
        </w:rPr>
        <w:t>/</w:t>
      </w:r>
      <w:proofErr w:type="spellStart"/>
      <w:r w:rsidRPr="00B8688E">
        <w:rPr>
          <w:rFonts w:asciiTheme="majorHAnsi" w:eastAsia="Times New Roman" w:hAnsiTheme="majorHAnsi" w:cstheme="majorHAnsi"/>
          <w:b/>
        </w:rPr>
        <w:t>Gmax</w:t>
      </w:r>
      <w:proofErr w:type="spellEnd"/>
      <w:r w:rsidRPr="00B8688E">
        <w:rPr>
          <w:rFonts w:asciiTheme="majorHAnsi" w:eastAsia="Times New Roman" w:hAnsiTheme="majorHAnsi" w:cstheme="majorHAnsi"/>
          <w:b/>
        </w:rPr>
        <w:t>) x 40 pkt.</w:t>
      </w:r>
    </w:p>
    <w:p w14:paraId="4016E142" w14:textId="77777777" w:rsidR="00B8688E" w:rsidRPr="00B8688E" w:rsidRDefault="00B8688E" w:rsidP="00B8688E">
      <w:pPr>
        <w:spacing w:line="240" w:lineRule="auto"/>
        <w:rPr>
          <w:rFonts w:asciiTheme="majorHAnsi" w:eastAsia="Times New Roman" w:hAnsiTheme="majorHAnsi" w:cstheme="majorHAnsi"/>
        </w:rPr>
      </w:pPr>
    </w:p>
    <w:p w14:paraId="48CC707A"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6603C771"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3A073310" w14:textId="77777777" w:rsidR="00B8688E" w:rsidRPr="00B8688E" w:rsidRDefault="00B8688E" w:rsidP="00B8688E">
      <w:pPr>
        <w:spacing w:line="240" w:lineRule="auto"/>
        <w:rPr>
          <w:rFonts w:asciiTheme="majorHAnsi" w:eastAsia="Times New Roman" w:hAnsiTheme="majorHAnsi" w:cstheme="majorHAnsi"/>
          <w:color w:val="FF0000"/>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Gmax</w:t>
      </w:r>
      <w:proofErr w:type="spellEnd"/>
      <w:r w:rsidRPr="00B8688E">
        <w:rPr>
          <w:rFonts w:asciiTheme="majorHAnsi" w:eastAsia="Times New Roman" w:hAnsiTheme="majorHAnsi" w:cstheme="majorHAnsi"/>
        </w:rPr>
        <w:t xml:space="preserve"> – gwarancja maksymalna w oferowanych ofertach ( nie więcej niż 60 miesięcy),</w:t>
      </w:r>
    </w:p>
    <w:p w14:paraId="413EADB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Gx</w:t>
      </w:r>
      <w:proofErr w:type="spellEnd"/>
      <w:r w:rsidRPr="00B8688E">
        <w:rPr>
          <w:rFonts w:asciiTheme="majorHAnsi" w:eastAsia="Times New Roman" w:hAnsiTheme="majorHAnsi" w:cstheme="majorHAnsi"/>
        </w:rPr>
        <w:t xml:space="preserve"> – gwarancja oferowana w badanej ofercie </w:t>
      </w:r>
    </w:p>
    <w:p w14:paraId="1C9A9168" w14:textId="77777777" w:rsidR="00B8688E" w:rsidRPr="00B8688E" w:rsidRDefault="00B8688E" w:rsidP="00B8688E">
      <w:pPr>
        <w:spacing w:line="240" w:lineRule="auto"/>
        <w:rPr>
          <w:rFonts w:asciiTheme="majorHAnsi" w:eastAsia="Times New Roman" w:hAnsiTheme="majorHAnsi" w:cstheme="majorHAnsi"/>
        </w:rPr>
      </w:pPr>
    </w:p>
    <w:p w14:paraId="70C91367" w14:textId="77777777" w:rsidR="00B8688E" w:rsidRPr="00B8688E" w:rsidRDefault="00B8688E" w:rsidP="00E95F17">
      <w:pPr>
        <w:spacing w:line="319" w:lineRule="auto"/>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6CFA4157" w14:textId="1EA85DF4" w:rsidR="00B8688E" w:rsidRPr="002B307A" w:rsidRDefault="00B8688E" w:rsidP="00E95F17">
      <w:pPr>
        <w:tabs>
          <w:tab w:val="left" w:pos="12170"/>
        </w:tabs>
        <w:suppressAutoHyphens/>
        <w:snapToGrid w:val="0"/>
        <w:spacing w:line="319" w:lineRule="auto"/>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t xml:space="preserve">Minimalny okres gwarancji wymagany przez Zamawiającego wynosi </w:t>
      </w:r>
      <w:r w:rsidR="00571FA8">
        <w:rPr>
          <w:rFonts w:asciiTheme="majorHAnsi" w:eastAsia="Times New Roman" w:hAnsiTheme="majorHAnsi" w:cstheme="majorHAnsi"/>
          <w:b/>
          <w:bCs/>
          <w:lang w:eastAsia="ar-SA"/>
        </w:rPr>
        <w:t>36</w:t>
      </w:r>
      <w:r w:rsidRPr="002B307A">
        <w:rPr>
          <w:rFonts w:asciiTheme="majorHAnsi" w:eastAsia="Times New Roman" w:hAnsiTheme="majorHAnsi" w:cstheme="majorHAnsi"/>
          <w:b/>
          <w:bCs/>
          <w:lang w:eastAsia="ar-SA"/>
        </w:rPr>
        <w:t xml:space="preserve"> miesięcy. </w:t>
      </w:r>
    </w:p>
    <w:p w14:paraId="4A8E6D42" w14:textId="2B55DAF8" w:rsidR="002B307A"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571FA8">
        <w:rPr>
          <w:rFonts w:asciiTheme="majorHAnsi" w:eastAsia="Times New Roman" w:hAnsiTheme="majorHAnsi" w:cstheme="majorHAnsi"/>
          <w:b/>
          <w:bCs/>
          <w:lang w:eastAsia="ar-SA"/>
        </w:rPr>
        <w:t>60</w:t>
      </w:r>
      <w:r w:rsidR="004959CE">
        <w:rPr>
          <w:rFonts w:asciiTheme="majorHAnsi" w:eastAsia="Times New Roman" w:hAnsiTheme="majorHAnsi" w:cstheme="majorHAnsi"/>
          <w:b/>
          <w:bCs/>
          <w:lang w:eastAsia="ar-SA"/>
        </w:rPr>
        <w:t xml:space="preserve"> </w:t>
      </w:r>
      <w:r w:rsidRPr="002B307A">
        <w:rPr>
          <w:rFonts w:asciiTheme="majorHAnsi" w:eastAsia="Times New Roman" w:hAnsiTheme="majorHAnsi" w:cstheme="majorHAnsi"/>
          <w:b/>
          <w:bCs/>
          <w:lang w:eastAsia="ar-SA"/>
        </w:rPr>
        <w:t>miesi</w:t>
      </w:r>
      <w:r w:rsidR="00571FA8">
        <w:rPr>
          <w:rFonts w:asciiTheme="majorHAnsi" w:eastAsia="Times New Roman" w:hAnsiTheme="majorHAnsi" w:cstheme="majorHAnsi"/>
          <w:b/>
          <w:bCs/>
          <w:lang w:eastAsia="ar-SA"/>
        </w:rPr>
        <w:t>ęcy.</w:t>
      </w:r>
    </w:p>
    <w:p w14:paraId="57A9883C" w14:textId="21EEDB7D"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571FA8">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miesięcy, termin ten będzie wiążący dla Wykonawcy, jednakże do oceny ofert w kryterium okres gwarancji zostanie przyjęty okres maksymalny określony w SWZ, czyli </w:t>
      </w:r>
      <w:r w:rsidR="00571FA8">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miesięcy.</w:t>
      </w:r>
    </w:p>
    <w:p w14:paraId="1DDC59B7" w14:textId="3224524A"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571FA8">
        <w:rPr>
          <w:rFonts w:asciiTheme="majorHAnsi" w:eastAsia="Times New Roman" w:hAnsiTheme="majorHAnsi" w:cstheme="majorHAnsi"/>
          <w:lang w:eastAsia="ar-SA"/>
        </w:rPr>
        <w:t>36</w:t>
      </w:r>
      <w:r w:rsidR="004959CE">
        <w:rPr>
          <w:rFonts w:asciiTheme="majorHAnsi" w:eastAsia="Times New Roman" w:hAnsiTheme="majorHAnsi" w:cstheme="majorHAnsi"/>
          <w:lang w:eastAsia="ar-SA"/>
        </w:rPr>
        <w:t xml:space="preserve"> </w:t>
      </w:r>
      <w:r w:rsidRPr="00B8688E">
        <w:rPr>
          <w:rFonts w:asciiTheme="majorHAnsi" w:eastAsia="Times New Roman" w:hAnsiTheme="majorHAnsi" w:cstheme="majorHAnsi"/>
          <w:lang w:eastAsia="ar-SA"/>
        </w:rPr>
        <w:t>miesięcy jego oferty zostanie odrzucona.</w:t>
      </w:r>
    </w:p>
    <w:p w14:paraId="296A74E2" w14:textId="77777777"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color w:val="000000"/>
          <w:lang w:eastAsia="ar-SA"/>
        </w:rPr>
      </w:pPr>
    </w:p>
    <w:p w14:paraId="7412CCCD"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Maksymalna ilość punktów, jaką można uzyskać w kryterium okres gwarancji wynosi: 40 pkt.</w:t>
      </w:r>
    </w:p>
    <w:p w14:paraId="1047D85A" w14:textId="77777777" w:rsidR="00B8688E" w:rsidRPr="00B8688E" w:rsidRDefault="00B8688E" w:rsidP="00B8688E">
      <w:pPr>
        <w:tabs>
          <w:tab w:val="left" w:pos="12170"/>
        </w:tabs>
        <w:suppressAutoHyphens/>
        <w:snapToGrid w:val="0"/>
        <w:spacing w:line="240" w:lineRule="auto"/>
        <w:jc w:val="both"/>
        <w:rPr>
          <w:rFonts w:ascii="Times New Roman" w:eastAsia="Times New Roman" w:hAnsi="Times New Roman" w:cs="Times New Roman"/>
          <w:color w:val="000000"/>
          <w:lang w:eastAsia="ar-SA"/>
        </w:rPr>
      </w:pPr>
    </w:p>
    <w:bookmarkEnd w:id="42"/>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7E394A3"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3" w:name="_Toc65495866"/>
      <w:r w:rsidRPr="00A258D6">
        <w:rPr>
          <w:rFonts w:asciiTheme="majorHAnsi" w:hAnsiTheme="majorHAnsi" w:cstheme="majorHAnsi"/>
          <w:b/>
          <w:bCs/>
          <w:sz w:val="22"/>
          <w:szCs w:val="22"/>
        </w:rPr>
        <w:t>XXI. Wymagania dotyczące zabezpieczenia należytego wykonania umowy.</w:t>
      </w:r>
      <w:bookmarkEnd w:id="43"/>
    </w:p>
    <w:p w14:paraId="60C9FEB0" w14:textId="7D125658" w:rsidR="008E6CE0"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wniesienia zabezpieczenia należytego wykonania umowy na kwotę stanowiącą </w:t>
      </w:r>
      <w:r w:rsidRPr="00A258D6">
        <w:rPr>
          <w:rFonts w:asciiTheme="majorHAnsi" w:hAnsiTheme="majorHAnsi" w:cstheme="majorHAnsi"/>
          <w:b/>
          <w:bCs/>
        </w:rPr>
        <w:t>5 % ceny całkowitej brutto</w:t>
      </w:r>
      <w:r w:rsidRPr="00A258D6">
        <w:rPr>
          <w:rFonts w:asciiTheme="majorHAnsi" w:hAnsiTheme="majorHAnsi" w:cstheme="majorHAnsi"/>
        </w:rPr>
        <w:t xml:space="preserve"> podanej w ofercie, w formach określonych w art. 450 ust. 1 ustawy </w:t>
      </w:r>
      <w:proofErr w:type="spellStart"/>
      <w:r w:rsidRPr="00A258D6">
        <w:rPr>
          <w:rFonts w:asciiTheme="majorHAnsi" w:hAnsiTheme="majorHAnsi" w:cstheme="majorHAnsi"/>
        </w:rPr>
        <w:t>Pzp</w:t>
      </w:r>
      <w:proofErr w:type="spellEnd"/>
      <w:r w:rsidR="00880A31" w:rsidRPr="00A258D6">
        <w:rPr>
          <w:rFonts w:asciiTheme="majorHAnsi" w:hAnsiTheme="majorHAnsi" w:cstheme="majorHAnsi"/>
        </w:rPr>
        <w:t xml:space="preserve"> </w:t>
      </w:r>
      <w:r w:rsidR="00B8688E">
        <w:rPr>
          <w:rFonts w:asciiTheme="majorHAnsi" w:hAnsiTheme="majorHAnsi" w:cstheme="majorHAnsi"/>
        </w:rPr>
        <w:t>.</w:t>
      </w:r>
    </w:p>
    <w:p w14:paraId="23E3430E" w14:textId="1A3D1D1A"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Zabezpieczenie należytego wykonania umowy należy wnieść najpóźniej przed zawarciem umowy w sprawie zamówienia publicznego.</w:t>
      </w:r>
    </w:p>
    <w:p w14:paraId="18D61CF4" w14:textId="6AB79AD4"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W przypadku wniesienia wadium w pieniądzu, Wykonawca może wyrazić zgodę na  zaliczenie kwoty wadium na poczet zabezpieczenia .</w:t>
      </w:r>
    </w:p>
    <w:p w14:paraId="20BBA96F" w14:textId="3A7918AC"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wnoszone w pieniądzu Wykonawca wpłaca przelewem na wskazany przez Zamawiającego rachunek bankowy (rachunek taki sam, jak dla wniesienia wadium w formie </w:t>
      </w:r>
      <w:r w:rsidRPr="00A258D6">
        <w:rPr>
          <w:rFonts w:asciiTheme="majorHAnsi" w:hAnsiTheme="majorHAnsi" w:cstheme="majorHAnsi"/>
        </w:rPr>
        <w:lastRenderedPageBreak/>
        <w:t xml:space="preserve">pieniądza). Wniesienie zabezpieczenia należytego wykonania </w:t>
      </w:r>
      <w:r w:rsidR="00447B79" w:rsidRPr="00A258D6">
        <w:rPr>
          <w:rFonts w:asciiTheme="majorHAnsi" w:hAnsiTheme="majorHAnsi" w:cstheme="majorHAnsi"/>
        </w:rPr>
        <w:t>umowy w pieniądzu będzie skuteczne z chwilą uznania rachunku bankowego Zamawiającego kwotą zabezpieczenia.</w:t>
      </w:r>
    </w:p>
    <w:p w14:paraId="52B4425E" w14:textId="221CCCB4"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wniesione w innej formie niż pieniądz musi być złożone w oryginale i wystawione na </w:t>
      </w:r>
      <w:r w:rsidR="003E3205" w:rsidRPr="00A258D6">
        <w:rPr>
          <w:rFonts w:asciiTheme="majorHAnsi" w:hAnsiTheme="majorHAnsi" w:cstheme="majorHAnsi"/>
        </w:rPr>
        <w:t>Zamawiającego</w:t>
      </w:r>
      <w:r w:rsidRPr="00A258D6">
        <w:rPr>
          <w:rFonts w:asciiTheme="majorHAnsi" w:hAnsiTheme="majorHAnsi" w:cstheme="majorHAnsi"/>
        </w:rPr>
        <w:t xml:space="preserve">, którego </w:t>
      </w:r>
      <w:r w:rsidR="003E3205" w:rsidRPr="00A258D6">
        <w:rPr>
          <w:rFonts w:asciiTheme="majorHAnsi" w:hAnsiTheme="majorHAnsi" w:cstheme="majorHAnsi"/>
        </w:rPr>
        <w:t>dane</w:t>
      </w:r>
      <w:r w:rsidRPr="00A258D6">
        <w:rPr>
          <w:rFonts w:asciiTheme="majorHAnsi" w:hAnsiTheme="majorHAnsi" w:cstheme="majorHAnsi"/>
        </w:rPr>
        <w:t xml:space="preserve"> zostały podane w Rozdziale I SWZ. Z treści gwarancji i poręczeń m</w:t>
      </w:r>
      <w:r w:rsidR="003E3205" w:rsidRPr="00A258D6">
        <w:rPr>
          <w:rFonts w:asciiTheme="majorHAnsi" w:hAnsiTheme="majorHAnsi" w:cstheme="majorHAnsi"/>
        </w:rPr>
        <w:t>u</w:t>
      </w:r>
      <w:r w:rsidRPr="00A258D6">
        <w:rPr>
          <w:rFonts w:asciiTheme="majorHAnsi" w:hAnsiTheme="majorHAnsi" w:cstheme="majorHAnsi"/>
        </w:rPr>
        <w:t>s</w:t>
      </w:r>
      <w:r w:rsidR="003E3205" w:rsidRPr="00A258D6">
        <w:rPr>
          <w:rFonts w:asciiTheme="majorHAnsi" w:hAnsiTheme="majorHAnsi" w:cstheme="majorHAnsi"/>
        </w:rPr>
        <w:t>i</w:t>
      </w:r>
      <w:r w:rsidRPr="00A258D6">
        <w:rPr>
          <w:rFonts w:asciiTheme="majorHAnsi" w:hAnsiTheme="majorHAnsi" w:cstheme="majorHAnsi"/>
        </w:rPr>
        <w:t xml:space="preserve"> wynikać bezwarunkowe, nieodwołalne i wykonalne na pierwsze pisemne żądanie </w:t>
      </w:r>
      <w:r w:rsidR="003E3205" w:rsidRPr="00A258D6">
        <w:rPr>
          <w:rFonts w:asciiTheme="majorHAnsi" w:hAnsiTheme="majorHAnsi" w:cstheme="majorHAnsi"/>
        </w:rPr>
        <w:t>Zamawiającego</w:t>
      </w:r>
      <w:r w:rsidRPr="00A258D6">
        <w:rPr>
          <w:rFonts w:asciiTheme="majorHAnsi" w:hAnsiTheme="majorHAnsi" w:cstheme="majorHAnsi"/>
        </w:rPr>
        <w:t xml:space="preserve"> zobowiązania gwaranta lub poręczyciela do zapłaty na </w:t>
      </w:r>
      <w:r w:rsidR="003E3205" w:rsidRPr="00A258D6">
        <w:rPr>
          <w:rFonts w:asciiTheme="majorHAnsi" w:hAnsiTheme="majorHAnsi" w:cstheme="majorHAnsi"/>
        </w:rPr>
        <w:t>rzecz</w:t>
      </w:r>
      <w:r w:rsidRPr="00A258D6">
        <w:rPr>
          <w:rFonts w:asciiTheme="majorHAnsi" w:hAnsiTheme="majorHAnsi" w:cstheme="majorHAnsi"/>
        </w:rPr>
        <w:t xml:space="preserve"> </w:t>
      </w:r>
      <w:r w:rsidR="003E3205" w:rsidRPr="00A258D6">
        <w:rPr>
          <w:rFonts w:asciiTheme="majorHAnsi" w:hAnsiTheme="majorHAnsi" w:cstheme="majorHAnsi"/>
        </w:rPr>
        <w:t>Zamawiającego</w:t>
      </w:r>
      <w:r w:rsidRPr="00A258D6">
        <w:rPr>
          <w:rFonts w:asciiTheme="majorHAnsi" w:hAnsiTheme="majorHAnsi" w:cstheme="majorHAnsi"/>
        </w:rPr>
        <w:t xml:space="preserve"> kwoty do wysokości określonej w gwarancji lub poręczeniu, w przypadku żądania </w:t>
      </w:r>
      <w:r w:rsidR="003E3205" w:rsidRPr="00A258D6">
        <w:rPr>
          <w:rFonts w:asciiTheme="majorHAnsi" w:hAnsiTheme="majorHAnsi" w:cstheme="majorHAnsi"/>
        </w:rPr>
        <w:t>Zamawiającego</w:t>
      </w:r>
      <w:r w:rsidRPr="00A258D6">
        <w:rPr>
          <w:rFonts w:asciiTheme="majorHAnsi" w:hAnsiTheme="majorHAnsi" w:cstheme="majorHAnsi"/>
        </w:rPr>
        <w:t xml:space="preserve"> w związku z przysługującym mu roszczeniem z tytułu niewykonania lub </w:t>
      </w:r>
      <w:r w:rsidR="003E3205" w:rsidRPr="00A258D6">
        <w:rPr>
          <w:rFonts w:asciiTheme="majorHAnsi" w:hAnsiTheme="majorHAnsi" w:cstheme="majorHAnsi"/>
        </w:rPr>
        <w:t>nienależytego</w:t>
      </w:r>
      <w:r w:rsidRPr="00A258D6">
        <w:rPr>
          <w:rFonts w:asciiTheme="majorHAnsi" w:hAnsiTheme="majorHAnsi" w:cstheme="majorHAnsi"/>
        </w:rPr>
        <w:t xml:space="preserve"> wykonania umowy.</w:t>
      </w:r>
    </w:p>
    <w:p w14:paraId="3A792924" w14:textId="623337E3"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Gwarancje i poręczenia muszą podlegać prawu polskiemu. Wszystkie spory dotyczące gwarancji i poręczeń będą </w:t>
      </w:r>
      <w:r w:rsidR="003E3205" w:rsidRPr="00A258D6">
        <w:rPr>
          <w:rFonts w:asciiTheme="majorHAnsi" w:hAnsiTheme="majorHAnsi" w:cstheme="majorHAnsi"/>
        </w:rPr>
        <w:t>rozstrzygane</w:t>
      </w:r>
      <w:r w:rsidRPr="00A258D6">
        <w:rPr>
          <w:rFonts w:asciiTheme="majorHAnsi" w:hAnsiTheme="majorHAnsi" w:cstheme="majorHAnsi"/>
        </w:rPr>
        <w:t xml:space="preserve"> zgodnie z prawem polskim</w:t>
      </w:r>
      <w:r w:rsidR="003E3205" w:rsidRPr="00A258D6">
        <w:rPr>
          <w:rFonts w:asciiTheme="majorHAnsi" w:hAnsiTheme="majorHAnsi" w:cstheme="majorHAnsi"/>
        </w:rPr>
        <w:t xml:space="preserve"> przez polskie sądy powszechne. W przypadku, gdy Wykonawca wnosi wadium w formie gwarancji lub poręczenia w jeżyku innym niż jeżyk polski, dokument gwarancji lub poręczenia należy założyć wraz z tłumaczeniem na język polski.</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4"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4"/>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5" w:name="_Toc65495868"/>
      <w:r w:rsidRPr="00B8688E">
        <w:rPr>
          <w:rFonts w:asciiTheme="majorHAnsi" w:hAnsiTheme="majorHAnsi" w:cstheme="majorHAnsi"/>
          <w:b/>
          <w:bCs/>
          <w:sz w:val="24"/>
          <w:szCs w:val="24"/>
        </w:rPr>
        <w:t>XXIII. Informacje o treści zawieranej umowy oraz możliwości jej zmiany</w:t>
      </w:r>
      <w:bookmarkEnd w:id="45"/>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lastRenderedPageBreak/>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6"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6"/>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47" w:name="_uarrfy5kozla" w:colFirst="0" w:colLast="0"/>
      <w:bookmarkStart w:id="48" w:name="_Toc65495870"/>
      <w:bookmarkEnd w:id="47"/>
      <w:r w:rsidRPr="00A258D6">
        <w:rPr>
          <w:rFonts w:asciiTheme="majorHAnsi" w:hAnsiTheme="majorHAnsi" w:cstheme="majorHAnsi"/>
          <w:b/>
          <w:bCs/>
          <w:sz w:val="22"/>
          <w:szCs w:val="22"/>
        </w:rPr>
        <w:t>XXV. Spis załączników</w:t>
      </w:r>
      <w:bookmarkEnd w:id="48"/>
    </w:p>
    <w:p w14:paraId="00000153" w14:textId="3C062579"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77287D1E"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2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F858211" w14:textId="224C2851" w:rsidR="00857D03"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44DC531F" w:rsidR="00CD6886"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5</w:t>
      </w:r>
      <w:r w:rsidRPr="00A258D6">
        <w:rPr>
          <w:rFonts w:asciiTheme="majorHAnsi" w:hAnsiTheme="majorHAnsi" w:cstheme="majorHAnsi"/>
        </w:rPr>
        <w:t xml:space="preserve"> do SWZ - </w:t>
      </w:r>
      <w:r w:rsidR="00CD6886" w:rsidRPr="00A258D6">
        <w:rPr>
          <w:rFonts w:asciiTheme="majorHAnsi" w:hAnsiTheme="majorHAnsi" w:cstheme="majorHAnsi"/>
        </w:rPr>
        <w:t xml:space="preserve">Wykaz </w:t>
      </w:r>
      <w:r w:rsidR="001F6724">
        <w:rPr>
          <w:rFonts w:asciiTheme="majorHAnsi" w:hAnsiTheme="majorHAnsi" w:cstheme="majorHAnsi"/>
        </w:rPr>
        <w:t>robót.</w:t>
      </w:r>
    </w:p>
    <w:p w14:paraId="009FE43F" w14:textId="324A70F2" w:rsidR="00880A31"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6</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p w14:paraId="2D5E1678" w14:textId="4304A9BD" w:rsidR="00CD6886"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7</w:t>
      </w:r>
      <w:r w:rsidRPr="00A258D6">
        <w:rPr>
          <w:rFonts w:asciiTheme="majorHAnsi" w:hAnsiTheme="majorHAnsi" w:cstheme="majorHAnsi"/>
        </w:rPr>
        <w:t xml:space="preserve"> do SWZ – dotyczy Wykonawców występujących wspólnie - wzór oświadczenia</w:t>
      </w:r>
      <w:r w:rsidR="00045C94" w:rsidRPr="00A258D6">
        <w:rPr>
          <w:rFonts w:asciiTheme="majorHAnsi" w:hAnsiTheme="majorHAnsi" w:cstheme="majorHAnsi"/>
        </w:rPr>
        <w:t>,</w:t>
      </w:r>
      <w:r w:rsidRPr="00A258D6">
        <w:rPr>
          <w:rFonts w:asciiTheme="majorHAnsi" w:hAnsiTheme="majorHAnsi" w:cstheme="majorHAnsi"/>
        </w:rPr>
        <w:t xml:space="preserve">  </w:t>
      </w:r>
      <w:r w:rsidR="00045C94" w:rsidRPr="00A258D6">
        <w:rPr>
          <w:rFonts w:asciiTheme="majorHAnsi" w:hAnsiTheme="majorHAnsi" w:cstheme="majorHAnsi"/>
        </w:rPr>
        <w:t>z którego wynika, które usługi wykonają poszczególni wykonawcy.</w:t>
      </w:r>
    </w:p>
    <w:p w14:paraId="6D79C459" w14:textId="00B242E1" w:rsidR="00661AC9" w:rsidRDefault="00661AC9" w:rsidP="00F76792">
      <w:pPr>
        <w:numPr>
          <w:ilvl w:val="0"/>
          <w:numId w:val="23"/>
        </w:numPr>
        <w:spacing w:line="319" w:lineRule="auto"/>
        <w:rPr>
          <w:rFonts w:asciiTheme="majorHAnsi" w:hAnsiTheme="majorHAnsi" w:cstheme="majorHAnsi"/>
        </w:rPr>
      </w:pPr>
      <w:r>
        <w:rPr>
          <w:rFonts w:asciiTheme="majorHAnsi" w:hAnsiTheme="majorHAnsi" w:cstheme="majorHAnsi"/>
        </w:rPr>
        <w:t>Dokumentacja projektowa wraz z załącznikami.</w:t>
      </w:r>
    </w:p>
    <w:p w14:paraId="53A1C1FB" w14:textId="77777777" w:rsidR="001F6724" w:rsidRPr="00A258D6" w:rsidRDefault="001F6724" w:rsidP="001F6724">
      <w:pPr>
        <w:spacing w:line="319" w:lineRule="auto"/>
        <w:ind w:left="720"/>
        <w:rPr>
          <w:rFonts w:asciiTheme="majorHAnsi" w:hAnsiTheme="majorHAnsi" w:cstheme="majorHAnsi"/>
        </w:rPr>
      </w:pPr>
    </w:p>
    <w:sectPr w:rsidR="001F6724" w:rsidRPr="00A258D6">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EC21" w14:textId="77777777" w:rsidR="006A0AC3" w:rsidRDefault="006A0AC3">
      <w:pPr>
        <w:spacing w:line="240" w:lineRule="auto"/>
      </w:pPr>
      <w:r>
        <w:separator/>
      </w:r>
    </w:p>
  </w:endnote>
  <w:endnote w:type="continuationSeparator" w:id="0">
    <w:p w14:paraId="6BE89A63" w14:textId="77777777" w:rsidR="006A0AC3" w:rsidRDefault="006A0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F52A" w14:textId="77777777" w:rsidR="006A0AC3" w:rsidRDefault="006A0AC3">
      <w:pPr>
        <w:spacing w:line="240" w:lineRule="auto"/>
      </w:pPr>
      <w:r>
        <w:separator/>
      </w:r>
    </w:p>
  </w:footnote>
  <w:footnote w:type="continuationSeparator" w:id="0">
    <w:p w14:paraId="25460D19" w14:textId="77777777" w:rsidR="006A0AC3" w:rsidRDefault="006A0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5A77026" w:rsidR="00A64BFE" w:rsidRDefault="00A64BFE">
    <w:pPr>
      <w:rPr>
        <w:rFonts w:ascii="Calibri" w:eastAsia="Calibri" w:hAnsi="Calibri" w:cs="Calibri"/>
        <w:color w:val="434343"/>
      </w:rPr>
    </w:pPr>
    <w:r>
      <w:rPr>
        <w:rFonts w:ascii="Calibri" w:eastAsia="Calibri" w:hAnsi="Calibri" w:cs="Calibri"/>
        <w:color w:val="434343"/>
      </w:rPr>
      <w:t>Nr postępowania: ROA.271.</w:t>
    </w:r>
    <w:r w:rsidR="00EF6664">
      <w:rPr>
        <w:rFonts w:ascii="Calibri" w:eastAsia="Calibri" w:hAnsi="Calibri" w:cs="Calibri"/>
        <w:color w:val="434343"/>
      </w:rPr>
      <w:t>8</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0"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18"/>
  </w:num>
  <w:num w:numId="4">
    <w:abstractNumId w:val="1"/>
  </w:num>
  <w:num w:numId="5">
    <w:abstractNumId w:val="8"/>
  </w:num>
  <w:num w:numId="6">
    <w:abstractNumId w:val="39"/>
  </w:num>
  <w:num w:numId="7">
    <w:abstractNumId w:val="30"/>
  </w:num>
  <w:num w:numId="8">
    <w:abstractNumId w:val="38"/>
  </w:num>
  <w:num w:numId="9">
    <w:abstractNumId w:val="33"/>
  </w:num>
  <w:num w:numId="10">
    <w:abstractNumId w:val="14"/>
  </w:num>
  <w:num w:numId="11">
    <w:abstractNumId w:val="11"/>
  </w:num>
  <w:num w:numId="12">
    <w:abstractNumId w:val="28"/>
  </w:num>
  <w:num w:numId="13">
    <w:abstractNumId w:val="16"/>
  </w:num>
  <w:num w:numId="14">
    <w:abstractNumId w:val="19"/>
  </w:num>
  <w:num w:numId="15">
    <w:abstractNumId w:val="31"/>
  </w:num>
  <w:num w:numId="16">
    <w:abstractNumId w:val="0"/>
  </w:num>
  <w:num w:numId="17">
    <w:abstractNumId w:val="32"/>
  </w:num>
  <w:num w:numId="18">
    <w:abstractNumId w:val="29"/>
  </w:num>
  <w:num w:numId="19">
    <w:abstractNumId w:val="24"/>
  </w:num>
  <w:num w:numId="20">
    <w:abstractNumId w:val="21"/>
  </w:num>
  <w:num w:numId="21">
    <w:abstractNumId w:val="35"/>
  </w:num>
  <w:num w:numId="22">
    <w:abstractNumId w:val="36"/>
  </w:num>
  <w:num w:numId="23">
    <w:abstractNumId w:val="20"/>
  </w:num>
  <w:num w:numId="24">
    <w:abstractNumId w:val="22"/>
  </w:num>
  <w:num w:numId="25">
    <w:abstractNumId w:val="25"/>
  </w:num>
  <w:num w:numId="26">
    <w:abstractNumId w:val="27"/>
  </w:num>
  <w:num w:numId="27">
    <w:abstractNumId w:val="3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3"/>
  </w:num>
  <w:num w:numId="32">
    <w:abstractNumId w:val="15"/>
  </w:num>
  <w:num w:numId="33">
    <w:abstractNumId w:val="4"/>
  </w:num>
  <w:num w:numId="34">
    <w:abstractNumId w:val="23"/>
  </w:num>
  <w:num w:numId="35">
    <w:abstractNumId w:val="17"/>
  </w:num>
  <w:num w:numId="36">
    <w:abstractNumId w:val="3"/>
  </w:num>
  <w:num w:numId="37">
    <w:abstractNumId w:val="10"/>
  </w:num>
  <w:num w:numId="38">
    <w:abstractNumId w:val="9"/>
  </w:num>
  <w:num w:numId="39">
    <w:abstractNumId w:val="37"/>
  </w:num>
  <w:num w:numId="40">
    <w:abstractNumId w:val="5"/>
  </w:num>
  <w:num w:numId="41">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1A9"/>
    <w:rsid w:val="00045C94"/>
    <w:rsid w:val="00045FA4"/>
    <w:rsid w:val="000461D7"/>
    <w:rsid w:val="000501F9"/>
    <w:rsid w:val="00054E4A"/>
    <w:rsid w:val="00056FCF"/>
    <w:rsid w:val="00057F8C"/>
    <w:rsid w:val="000805AA"/>
    <w:rsid w:val="000816E2"/>
    <w:rsid w:val="0008203E"/>
    <w:rsid w:val="00085A47"/>
    <w:rsid w:val="00085B60"/>
    <w:rsid w:val="00091CFF"/>
    <w:rsid w:val="00094FF5"/>
    <w:rsid w:val="00096B30"/>
    <w:rsid w:val="00096CC1"/>
    <w:rsid w:val="000A2FA5"/>
    <w:rsid w:val="000A6F80"/>
    <w:rsid w:val="000A7D9A"/>
    <w:rsid w:val="000B07B4"/>
    <w:rsid w:val="000F3D8A"/>
    <w:rsid w:val="001107AD"/>
    <w:rsid w:val="00113FC3"/>
    <w:rsid w:val="00117A01"/>
    <w:rsid w:val="001269F3"/>
    <w:rsid w:val="0013799C"/>
    <w:rsid w:val="0014258D"/>
    <w:rsid w:val="00173C78"/>
    <w:rsid w:val="001755AA"/>
    <w:rsid w:val="001767E2"/>
    <w:rsid w:val="00185789"/>
    <w:rsid w:val="0019773C"/>
    <w:rsid w:val="001A4D5A"/>
    <w:rsid w:val="001B3DF6"/>
    <w:rsid w:val="001B6804"/>
    <w:rsid w:val="001B742A"/>
    <w:rsid w:val="001C5D72"/>
    <w:rsid w:val="001C7733"/>
    <w:rsid w:val="001D079F"/>
    <w:rsid w:val="001D16DC"/>
    <w:rsid w:val="001D44A4"/>
    <w:rsid w:val="001D6F74"/>
    <w:rsid w:val="001E189E"/>
    <w:rsid w:val="001F375D"/>
    <w:rsid w:val="001F6724"/>
    <w:rsid w:val="001F6FA3"/>
    <w:rsid w:val="002034A6"/>
    <w:rsid w:val="00206E26"/>
    <w:rsid w:val="00217FF0"/>
    <w:rsid w:val="002220AF"/>
    <w:rsid w:val="00226899"/>
    <w:rsid w:val="00233AAC"/>
    <w:rsid w:val="00235EBE"/>
    <w:rsid w:val="002409D3"/>
    <w:rsid w:val="002645CD"/>
    <w:rsid w:val="00281381"/>
    <w:rsid w:val="00284068"/>
    <w:rsid w:val="002844AF"/>
    <w:rsid w:val="00287869"/>
    <w:rsid w:val="00294ADE"/>
    <w:rsid w:val="00296060"/>
    <w:rsid w:val="002A1844"/>
    <w:rsid w:val="002A4E12"/>
    <w:rsid w:val="002B307A"/>
    <w:rsid w:val="002B75A1"/>
    <w:rsid w:val="002C130E"/>
    <w:rsid w:val="002C40C0"/>
    <w:rsid w:val="002D62DD"/>
    <w:rsid w:val="002E15EE"/>
    <w:rsid w:val="002E497D"/>
    <w:rsid w:val="002E6BFC"/>
    <w:rsid w:val="002F286A"/>
    <w:rsid w:val="00301B0F"/>
    <w:rsid w:val="00305B1B"/>
    <w:rsid w:val="00326F74"/>
    <w:rsid w:val="003270C6"/>
    <w:rsid w:val="00344DDF"/>
    <w:rsid w:val="003467F4"/>
    <w:rsid w:val="003567CC"/>
    <w:rsid w:val="00377F18"/>
    <w:rsid w:val="0038543F"/>
    <w:rsid w:val="0039496C"/>
    <w:rsid w:val="003A3FBD"/>
    <w:rsid w:val="003A4FFA"/>
    <w:rsid w:val="003A508C"/>
    <w:rsid w:val="003B0B6C"/>
    <w:rsid w:val="003B22F7"/>
    <w:rsid w:val="003B6719"/>
    <w:rsid w:val="003B739A"/>
    <w:rsid w:val="003B7A49"/>
    <w:rsid w:val="003C331F"/>
    <w:rsid w:val="003C67BF"/>
    <w:rsid w:val="003C6AFB"/>
    <w:rsid w:val="003C7094"/>
    <w:rsid w:val="003E3205"/>
    <w:rsid w:val="003E7265"/>
    <w:rsid w:val="003F3BC0"/>
    <w:rsid w:val="003F6055"/>
    <w:rsid w:val="00424543"/>
    <w:rsid w:val="004365D2"/>
    <w:rsid w:val="0044203E"/>
    <w:rsid w:val="0044546B"/>
    <w:rsid w:val="00447B79"/>
    <w:rsid w:val="00450C8E"/>
    <w:rsid w:val="00453B34"/>
    <w:rsid w:val="0045658C"/>
    <w:rsid w:val="00471433"/>
    <w:rsid w:val="0047516D"/>
    <w:rsid w:val="00481726"/>
    <w:rsid w:val="004837CA"/>
    <w:rsid w:val="00491604"/>
    <w:rsid w:val="004959CE"/>
    <w:rsid w:val="004A3417"/>
    <w:rsid w:val="004A400F"/>
    <w:rsid w:val="004A56C0"/>
    <w:rsid w:val="004B5B12"/>
    <w:rsid w:val="004C3F3B"/>
    <w:rsid w:val="004C76C6"/>
    <w:rsid w:val="004D51CB"/>
    <w:rsid w:val="004F2658"/>
    <w:rsid w:val="004F3ECF"/>
    <w:rsid w:val="00502BF3"/>
    <w:rsid w:val="00505136"/>
    <w:rsid w:val="005107C9"/>
    <w:rsid w:val="00512217"/>
    <w:rsid w:val="0051444A"/>
    <w:rsid w:val="005313D8"/>
    <w:rsid w:val="00533F49"/>
    <w:rsid w:val="00541386"/>
    <w:rsid w:val="005422A4"/>
    <w:rsid w:val="00544DEB"/>
    <w:rsid w:val="00546191"/>
    <w:rsid w:val="00556659"/>
    <w:rsid w:val="00567CE6"/>
    <w:rsid w:val="0057137E"/>
    <w:rsid w:val="00571FA8"/>
    <w:rsid w:val="0057369C"/>
    <w:rsid w:val="0058521E"/>
    <w:rsid w:val="00585FF7"/>
    <w:rsid w:val="005864EA"/>
    <w:rsid w:val="005B4887"/>
    <w:rsid w:val="005C65DF"/>
    <w:rsid w:val="005E6EF7"/>
    <w:rsid w:val="006116B3"/>
    <w:rsid w:val="00612559"/>
    <w:rsid w:val="00636197"/>
    <w:rsid w:val="00637F8E"/>
    <w:rsid w:val="0064460C"/>
    <w:rsid w:val="00651B5C"/>
    <w:rsid w:val="00661067"/>
    <w:rsid w:val="00661AC9"/>
    <w:rsid w:val="00675C16"/>
    <w:rsid w:val="0068752A"/>
    <w:rsid w:val="006A0AC3"/>
    <w:rsid w:val="006A5BC7"/>
    <w:rsid w:val="006B40FC"/>
    <w:rsid w:val="006B4DC1"/>
    <w:rsid w:val="006B6890"/>
    <w:rsid w:val="006C4D15"/>
    <w:rsid w:val="006E5E51"/>
    <w:rsid w:val="006E5EFD"/>
    <w:rsid w:val="006F247A"/>
    <w:rsid w:val="006F3478"/>
    <w:rsid w:val="00703329"/>
    <w:rsid w:val="00703D85"/>
    <w:rsid w:val="00705B71"/>
    <w:rsid w:val="007106D1"/>
    <w:rsid w:val="007151D8"/>
    <w:rsid w:val="0071612B"/>
    <w:rsid w:val="00720175"/>
    <w:rsid w:val="00723F94"/>
    <w:rsid w:val="007325D7"/>
    <w:rsid w:val="00735A3B"/>
    <w:rsid w:val="00743DE2"/>
    <w:rsid w:val="00745302"/>
    <w:rsid w:val="007563B1"/>
    <w:rsid w:val="007606A6"/>
    <w:rsid w:val="007636D0"/>
    <w:rsid w:val="00767DAC"/>
    <w:rsid w:val="007761FF"/>
    <w:rsid w:val="00782C76"/>
    <w:rsid w:val="007839A2"/>
    <w:rsid w:val="00790CC7"/>
    <w:rsid w:val="00794557"/>
    <w:rsid w:val="007D1D4F"/>
    <w:rsid w:val="007E4CAE"/>
    <w:rsid w:val="00804F73"/>
    <w:rsid w:val="0082243F"/>
    <w:rsid w:val="00826B05"/>
    <w:rsid w:val="00826DC8"/>
    <w:rsid w:val="00831210"/>
    <w:rsid w:val="00850AC6"/>
    <w:rsid w:val="00850EF2"/>
    <w:rsid w:val="00855DA2"/>
    <w:rsid w:val="00856FFA"/>
    <w:rsid w:val="00857D03"/>
    <w:rsid w:val="008664B0"/>
    <w:rsid w:val="00874229"/>
    <w:rsid w:val="00874931"/>
    <w:rsid w:val="00880A31"/>
    <w:rsid w:val="00881111"/>
    <w:rsid w:val="008914D8"/>
    <w:rsid w:val="00897FAC"/>
    <w:rsid w:val="008A2031"/>
    <w:rsid w:val="008A3768"/>
    <w:rsid w:val="008A3EE9"/>
    <w:rsid w:val="008B6724"/>
    <w:rsid w:val="008D12D7"/>
    <w:rsid w:val="008D1449"/>
    <w:rsid w:val="008D24DE"/>
    <w:rsid w:val="008E6CE0"/>
    <w:rsid w:val="008F2855"/>
    <w:rsid w:val="008F3C52"/>
    <w:rsid w:val="00903540"/>
    <w:rsid w:val="009070D1"/>
    <w:rsid w:val="009074BA"/>
    <w:rsid w:val="00917065"/>
    <w:rsid w:val="00923863"/>
    <w:rsid w:val="009307AE"/>
    <w:rsid w:val="00942FD0"/>
    <w:rsid w:val="00944888"/>
    <w:rsid w:val="00947C88"/>
    <w:rsid w:val="00954767"/>
    <w:rsid w:val="00961F0D"/>
    <w:rsid w:val="00980F58"/>
    <w:rsid w:val="00994206"/>
    <w:rsid w:val="009A31BF"/>
    <w:rsid w:val="009A4AE7"/>
    <w:rsid w:val="009A74E5"/>
    <w:rsid w:val="009B34E2"/>
    <w:rsid w:val="009B7036"/>
    <w:rsid w:val="009D2556"/>
    <w:rsid w:val="009E3DDB"/>
    <w:rsid w:val="009E718F"/>
    <w:rsid w:val="009F7BA4"/>
    <w:rsid w:val="00A258D6"/>
    <w:rsid w:val="00A32ACB"/>
    <w:rsid w:val="00A33B8E"/>
    <w:rsid w:val="00A45459"/>
    <w:rsid w:val="00A461C1"/>
    <w:rsid w:val="00A64BFE"/>
    <w:rsid w:val="00A813CF"/>
    <w:rsid w:val="00A96A80"/>
    <w:rsid w:val="00AB2A63"/>
    <w:rsid w:val="00AC1B9C"/>
    <w:rsid w:val="00AC5260"/>
    <w:rsid w:val="00AC7485"/>
    <w:rsid w:val="00AD0456"/>
    <w:rsid w:val="00AD6FE1"/>
    <w:rsid w:val="00AF2298"/>
    <w:rsid w:val="00AF2A39"/>
    <w:rsid w:val="00B159A0"/>
    <w:rsid w:val="00B2219E"/>
    <w:rsid w:val="00B22953"/>
    <w:rsid w:val="00B43551"/>
    <w:rsid w:val="00B43610"/>
    <w:rsid w:val="00B56D23"/>
    <w:rsid w:val="00B605D3"/>
    <w:rsid w:val="00B738D5"/>
    <w:rsid w:val="00B763C0"/>
    <w:rsid w:val="00B8688E"/>
    <w:rsid w:val="00B86CEC"/>
    <w:rsid w:val="00B878D6"/>
    <w:rsid w:val="00B8792B"/>
    <w:rsid w:val="00B965C8"/>
    <w:rsid w:val="00BA2A35"/>
    <w:rsid w:val="00BA6700"/>
    <w:rsid w:val="00BE1695"/>
    <w:rsid w:val="00BE42C6"/>
    <w:rsid w:val="00BE5227"/>
    <w:rsid w:val="00C3214E"/>
    <w:rsid w:val="00C35BEF"/>
    <w:rsid w:val="00C41890"/>
    <w:rsid w:val="00C466C5"/>
    <w:rsid w:val="00C62B07"/>
    <w:rsid w:val="00C63B1C"/>
    <w:rsid w:val="00C72BF4"/>
    <w:rsid w:val="00C76D05"/>
    <w:rsid w:val="00C77CD6"/>
    <w:rsid w:val="00C9460E"/>
    <w:rsid w:val="00CA7098"/>
    <w:rsid w:val="00CB256B"/>
    <w:rsid w:val="00CB268F"/>
    <w:rsid w:val="00CB66A8"/>
    <w:rsid w:val="00CC35D3"/>
    <w:rsid w:val="00CC4A0C"/>
    <w:rsid w:val="00CC4DE6"/>
    <w:rsid w:val="00CD29A3"/>
    <w:rsid w:val="00CD6886"/>
    <w:rsid w:val="00CE5605"/>
    <w:rsid w:val="00CF6FD6"/>
    <w:rsid w:val="00D012B4"/>
    <w:rsid w:val="00D07495"/>
    <w:rsid w:val="00D109AB"/>
    <w:rsid w:val="00D12C81"/>
    <w:rsid w:val="00D26185"/>
    <w:rsid w:val="00D30FF6"/>
    <w:rsid w:val="00D4527E"/>
    <w:rsid w:val="00D4775D"/>
    <w:rsid w:val="00D51A9B"/>
    <w:rsid w:val="00D576E9"/>
    <w:rsid w:val="00D64AB4"/>
    <w:rsid w:val="00D74830"/>
    <w:rsid w:val="00D767C0"/>
    <w:rsid w:val="00D82F07"/>
    <w:rsid w:val="00D93117"/>
    <w:rsid w:val="00D96EA2"/>
    <w:rsid w:val="00DB63FF"/>
    <w:rsid w:val="00DC2C9E"/>
    <w:rsid w:val="00DC2CBA"/>
    <w:rsid w:val="00DC3BB0"/>
    <w:rsid w:val="00DD52B3"/>
    <w:rsid w:val="00DD64A6"/>
    <w:rsid w:val="00DE1E25"/>
    <w:rsid w:val="00DE2D91"/>
    <w:rsid w:val="00DE36D5"/>
    <w:rsid w:val="00DE40E4"/>
    <w:rsid w:val="00DF1295"/>
    <w:rsid w:val="00DF5FBA"/>
    <w:rsid w:val="00E26359"/>
    <w:rsid w:val="00E305F3"/>
    <w:rsid w:val="00E32059"/>
    <w:rsid w:val="00E508E1"/>
    <w:rsid w:val="00E550CD"/>
    <w:rsid w:val="00E65E93"/>
    <w:rsid w:val="00E7717C"/>
    <w:rsid w:val="00E937B0"/>
    <w:rsid w:val="00E93BFA"/>
    <w:rsid w:val="00E95F17"/>
    <w:rsid w:val="00EA572A"/>
    <w:rsid w:val="00EA5D61"/>
    <w:rsid w:val="00EB3CA2"/>
    <w:rsid w:val="00EB5EE9"/>
    <w:rsid w:val="00EC7F74"/>
    <w:rsid w:val="00EE4FC1"/>
    <w:rsid w:val="00EF4BB5"/>
    <w:rsid w:val="00EF6664"/>
    <w:rsid w:val="00F00266"/>
    <w:rsid w:val="00F046CE"/>
    <w:rsid w:val="00F142AF"/>
    <w:rsid w:val="00F17525"/>
    <w:rsid w:val="00F37E70"/>
    <w:rsid w:val="00F420B1"/>
    <w:rsid w:val="00F434F3"/>
    <w:rsid w:val="00F54DD1"/>
    <w:rsid w:val="00F67F03"/>
    <w:rsid w:val="00F76792"/>
    <w:rsid w:val="00F861AC"/>
    <w:rsid w:val="00F861C4"/>
    <w:rsid w:val="00F9247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2676</TotalTime>
  <Pages>29</Pages>
  <Words>10823</Words>
  <Characters>64938</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100</cp:revision>
  <cp:lastPrinted>2021-06-23T07:23:00Z</cp:lastPrinted>
  <dcterms:created xsi:type="dcterms:W3CDTF">2021-03-08T00:28:00Z</dcterms:created>
  <dcterms:modified xsi:type="dcterms:W3CDTF">2021-06-23T08:08:00Z</dcterms:modified>
</cp:coreProperties>
</file>