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553" w14:textId="5B160013" w:rsidR="00934815" w:rsidRPr="00934815" w:rsidRDefault="00934815" w:rsidP="00934815">
      <w:pPr>
        <w:spacing w:after="19" w:line="259" w:lineRule="auto"/>
        <w:ind w:left="4431" w:right="0" w:firstLine="0"/>
        <w:rPr>
          <w:b/>
        </w:rPr>
      </w:pPr>
      <w:r>
        <w:rPr>
          <w:b/>
        </w:rPr>
        <w:t xml:space="preserve">   </w:t>
      </w:r>
      <w:r w:rsidRPr="00934815">
        <w:rPr>
          <w:b/>
        </w:rPr>
        <w:t xml:space="preserve">Nr postępowania: BZP.2711.71.2023.MG </w:t>
      </w:r>
    </w:p>
    <w:p w14:paraId="46B97D6D" w14:textId="293A5A40" w:rsidR="00281239" w:rsidRPr="00934815" w:rsidRDefault="00934815" w:rsidP="00934815">
      <w:pPr>
        <w:spacing w:after="19" w:line="259" w:lineRule="auto"/>
        <w:ind w:left="5326" w:right="0"/>
        <w:rPr>
          <w:b/>
        </w:rPr>
      </w:pPr>
      <w:r w:rsidRPr="00934815">
        <w:rPr>
          <w:b/>
        </w:rPr>
        <w:t xml:space="preserve">                          Załącznik nr 3 do SWZ</w:t>
      </w:r>
    </w:p>
    <w:p w14:paraId="550D9B0F" w14:textId="77777777" w:rsidR="00281239" w:rsidRDefault="00C47117">
      <w:pPr>
        <w:spacing w:after="17" w:line="259" w:lineRule="auto"/>
        <w:ind w:left="81" w:right="0" w:firstLine="0"/>
        <w:jc w:val="center"/>
      </w:pPr>
      <w:r>
        <w:rPr>
          <w:b/>
        </w:rPr>
        <w:t xml:space="preserve">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2"/>
      </w:tblGrid>
      <w:tr w:rsidR="004B5407" w14:paraId="78631C2D" w14:textId="77777777" w:rsidTr="004B5407">
        <w:trPr>
          <w:trHeight w:val="645"/>
        </w:trPr>
        <w:tc>
          <w:tcPr>
            <w:tcW w:w="7512" w:type="dxa"/>
            <w:shd w:val="clear" w:color="auto" w:fill="E2EFD9" w:themeFill="accent6" w:themeFillTint="33"/>
          </w:tcPr>
          <w:p w14:paraId="090F4FC0" w14:textId="77777777" w:rsidR="004B5407" w:rsidRDefault="004B5407" w:rsidP="004B5407">
            <w:pPr>
              <w:spacing w:after="10" w:line="269" w:lineRule="auto"/>
              <w:ind w:left="772" w:right="751" w:hanging="10"/>
              <w:jc w:val="center"/>
              <w:rPr>
                <w:b/>
              </w:rPr>
            </w:pPr>
          </w:p>
          <w:p w14:paraId="7F825B90" w14:textId="77777777" w:rsidR="004B5407" w:rsidRDefault="004B5407" w:rsidP="004B5407">
            <w:pPr>
              <w:spacing w:after="10" w:line="269" w:lineRule="auto"/>
              <w:ind w:left="772" w:right="751" w:hanging="10"/>
              <w:jc w:val="center"/>
              <w:rPr>
                <w:b/>
              </w:rPr>
            </w:pPr>
            <w:r>
              <w:rPr>
                <w:b/>
              </w:rPr>
              <w:t>OPIS PRZEDMIOTU ZAMÓWIENIA</w:t>
            </w:r>
          </w:p>
          <w:p w14:paraId="75E1F439" w14:textId="2B73409C" w:rsidR="004B5407" w:rsidRDefault="004B5407" w:rsidP="004B5407">
            <w:pPr>
              <w:spacing w:after="10" w:line="269" w:lineRule="auto"/>
              <w:ind w:left="772" w:right="751" w:hanging="10"/>
              <w:jc w:val="center"/>
              <w:rPr>
                <w:b/>
              </w:rPr>
            </w:pPr>
            <w:r>
              <w:t xml:space="preserve"> </w:t>
            </w:r>
          </w:p>
        </w:tc>
      </w:tr>
    </w:tbl>
    <w:p w14:paraId="263C66FD" w14:textId="77777777" w:rsidR="00281239" w:rsidRDefault="00C47117">
      <w:pPr>
        <w:spacing w:after="17" w:line="259" w:lineRule="auto"/>
        <w:ind w:left="19" w:right="0" w:firstLine="0"/>
        <w:jc w:val="left"/>
      </w:pPr>
      <w:r>
        <w:t xml:space="preserve"> </w:t>
      </w:r>
    </w:p>
    <w:p w14:paraId="7647ACE2" w14:textId="77777777" w:rsidR="00281239" w:rsidRDefault="00C47117">
      <w:pPr>
        <w:spacing w:after="10" w:line="269" w:lineRule="auto"/>
        <w:ind w:left="772" w:right="679" w:hanging="10"/>
        <w:jc w:val="center"/>
      </w:pPr>
      <w:r>
        <w:rPr>
          <w:b/>
        </w:rPr>
        <w:t xml:space="preserve">Świadczenie usług pocztowych w obrocie krajowym i zagranicznym na rzecz Uniwersytetu Wrocławskiego </w:t>
      </w:r>
    </w:p>
    <w:p w14:paraId="36C0440D" w14:textId="77777777" w:rsidR="00281239" w:rsidRDefault="00C47117">
      <w:pPr>
        <w:spacing w:after="17" w:line="259" w:lineRule="auto"/>
        <w:ind w:left="559" w:right="0" w:firstLine="0"/>
        <w:jc w:val="left"/>
      </w:pPr>
      <w:r>
        <w:t xml:space="preserve"> </w:t>
      </w:r>
    </w:p>
    <w:p w14:paraId="08FF7A92" w14:textId="0D0FE1F9" w:rsidR="00281239" w:rsidRDefault="00C47117">
      <w:pPr>
        <w:spacing w:after="38" w:line="268" w:lineRule="auto"/>
        <w:ind w:left="29" w:right="0" w:hanging="10"/>
      </w:pPr>
      <w:r>
        <w:t xml:space="preserve">Przedmiotem zamówienia jest wykonywanie na rzecz Uniwersytetu Wrocławskiego usług pocztowych zgodnie z postanowieniami </w:t>
      </w:r>
      <w:r w:rsidRPr="004B5407">
        <w:rPr>
          <w:b/>
        </w:rPr>
        <w:t>ustawy dnia 23 listopada 2012 r. Prawo pocztowe</w:t>
      </w:r>
      <w:r w:rsidR="0049665E">
        <w:t xml:space="preserve"> (</w:t>
      </w:r>
      <w:proofErr w:type="spellStart"/>
      <w:r w:rsidR="0049665E">
        <w:t>DzU</w:t>
      </w:r>
      <w:proofErr w:type="spellEnd"/>
      <w:r w:rsidR="0049665E">
        <w:t xml:space="preserve"> 2020, poz. 2320)</w:t>
      </w:r>
      <w:r>
        <w:t xml:space="preserve">, </w:t>
      </w:r>
      <w:r w:rsidRPr="004B5407">
        <w:rPr>
          <w:u w:val="single"/>
        </w:rPr>
        <w:t>w następującym zakresie</w:t>
      </w:r>
      <w:r>
        <w:t xml:space="preserve">: </w:t>
      </w:r>
    </w:p>
    <w:p w14:paraId="4C0DF054" w14:textId="77777777" w:rsidR="00281239" w:rsidRDefault="00C47117">
      <w:pPr>
        <w:numPr>
          <w:ilvl w:val="0"/>
          <w:numId w:val="1"/>
        </w:numPr>
        <w:spacing w:after="38" w:line="268" w:lineRule="auto"/>
        <w:ind w:right="0" w:hanging="360"/>
      </w:pPr>
      <w:r>
        <w:t xml:space="preserve">Przyjmowanie do obrotu pocztowego przesyłek listowych oraz paczek pocztowych krajowych i zagranicznych, w tym: </w:t>
      </w:r>
    </w:p>
    <w:p w14:paraId="4DC9B6AF" w14:textId="61A063AB" w:rsidR="00281239" w:rsidRDefault="00C47117">
      <w:pPr>
        <w:numPr>
          <w:ilvl w:val="1"/>
          <w:numId w:val="1"/>
        </w:numPr>
        <w:ind w:right="0" w:hanging="360"/>
      </w:pPr>
      <w:r>
        <w:t>podział przesyłek pocztowych na</w:t>
      </w:r>
      <w:r w:rsidR="0049665E">
        <w:t>:</w:t>
      </w:r>
      <w:r>
        <w:t xml:space="preserve"> przesyłki rejestrowane i nierejestrowane, przesyłki będące przesyłkami najszybszej kategorii i przesyłki niebędące przesyłkami najszybszej kategorii, przesyłki za zwrotnym pokwitowaniem odbioru w formie pisemnej (ZPO) i przesyłki niewymagające zwrotnego pokwitowania odbioru, przesyłki z zadeklarowaną wartością; </w:t>
      </w:r>
    </w:p>
    <w:p w14:paraId="4E722E31" w14:textId="15DDC2F0" w:rsidR="00281239" w:rsidRDefault="00C47117">
      <w:pPr>
        <w:numPr>
          <w:ilvl w:val="1"/>
          <w:numId w:val="1"/>
        </w:numPr>
        <w:ind w:right="0" w:hanging="360"/>
      </w:pPr>
      <w:r>
        <w:t xml:space="preserve">Zamawiający wymaga każdorazowego potwierdzenia nadania przesyłek rejestrowanych i nierejestrowanych na zestawieniach przesyłek rejestrowanych </w:t>
      </w:r>
      <w:r w:rsidR="0049665E">
        <w:br/>
      </w:r>
      <w:r>
        <w:t xml:space="preserve">i nierejestrowanych stanowiących </w:t>
      </w:r>
      <w:r w:rsidR="000A752F">
        <w:t>z</w:t>
      </w:r>
      <w:r>
        <w:t xml:space="preserve">ałącznik do umowy; </w:t>
      </w:r>
    </w:p>
    <w:p w14:paraId="0D62E6BE" w14:textId="77777777" w:rsidR="00281239" w:rsidRDefault="00C47117">
      <w:pPr>
        <w:numPr>
          <w:ilvl w:val="1"/>
          <w:numId w:val="1"/>
        </w:numPr>
        <w:ind w:right="0" w:hanging="360"/>
      </w:pPr>
      <w:r>
        <w:t xml:space="preserve">usługa doręczenia powinna być wykonana w jak najkrótszym czasie zgodnie ze wskazaniami określonymi w ustawie Prawo pocztowe; </w:t>
      </w:r>
    </w:p>
    <w:p w14:paraId="263AD1CE" w14:textId="4F58042A" w:rsidR="00281239" w:rsidRDefault="00C47117">
      <w:pPr>
        <w:numPr>
          <w:ilvl w:val="1"/>
          <w:numId w:val="1"/>
        </w:numPr>
        <w:ind w:right="0" w:hanging="360"/>
      </w:pPr>
      <w:r>
        <w:t xml:space="preserve">Zamawiający wymaga, aby przesyłki przyjmowanie do obrotu pocztowego przez Wykonawcę zostały dostarczone pod wskazany przez nadawcę adres do każdej najmniejszej jednostki administracyjnej w kraju i zagranicą; </w:t>
      </w:r>
    </w:p>
    <w:p w14:paraId="13BBF16B" w14:textId="44B2B62A" w:rsidR="00FC1200" w:rsidRPr="00CA7A7D" w:rsidRDefault="00E271D0" w:rsidP="00781A58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ind w:left="851" w:right="0" w:firstLine="0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bookmarkStart w:id="0" w:name="_Hlk155877047"/>
      <w:r w:rsidR="00FC1200" w:rsidRPr="00CA7A7D">
        <w:rPr>
          <w:rFonts w:cs="Arial"/>
          <w:szCs w:val="20"/>
        </w:rPr>
        <w:t xml:space="preserve">w obrocie międzynarodowym mogą występować ograniczenia w realizacji niektórych usług wynikających z decyzji wprowadzanych przez administracje pocztowe krajów przeznaczenia oraz doręczania przesyłek do krajów objętych aktualną umową międzynarodową, na podstawie ustawy z dnia 23 listopada 2012 roku Prawo pocztowe, międzynarodowych przepisów pocztowych, tj. Światowej Konwencji Pocztowej </w:t>
      </w:r>
      <w:proofErr w:type="spellStart"/>
      <w:r w:rsidR="00FC1200" w:rsidRPr="00CA7A7D">
        <w:rPr>
          <w:rFonts w:cs="Arial"/>
          <w:szCs w:val="20"/>
        </w:rPr>
        <w:t>Doha</w:t>
      </w:r>
      <w:proofErr w:type="spellEnd"/>
      <w:r w:rsidR="00FC1200" w:rsidRPr="00CA7A7D">
        <w:rPr>
          <w:rFonts w:cs="Arial"/>
          <w:szCs w:val="20"/>
        </w:rPr>
        <w:t xml:space="preserve"> 2012 wraz z aktami wykonawczymi: Regulaminem Poczty Listowej – Berno 2013 i Regulaminem dotyczącym paczek pocztowych – Berno 2013 oraz na podstawie komunikatów Wykonawcy (lista krajów, w stosunku do których występują ograniczenia w świadczeniu usług pocztowych w obrocie zagranicznym, dostępnych na stronach internetowych Wykonawcy); B) zasady doręczania, awizowania i zwracania do nadawcy przesyłek rejestrowanych w obrocie zagranicznym, a także postępowanie ze zwrotnym potwierdzeniem odbioru, zostały określone w międzynarodowych pocztowych aktach prawnych. Dodatkowo operatorzy zagraniczni stosują swoje wewnętrzne, obowiązujące w tym zakresie przepisy – często odmienne od uregulowań w polskim porządku prawnym; </w:t>
      </w:r>
    </w:p>
    <w:p w14:paraId="2C295D5B" w14:textId="77777777" w:rsidR="00FC1200" w:rsidRPr="00CA7A7D" w:rsidRDefault="00FC1200" w:rsidP="00781A58">
      <w:pPr>
        <w:numPr>
          <w:ilvl w:val="0"/>
          <w:numId w:val="5"/>
        </w:numPr>
        <w:autoSpaceDE w:val="0"/>
        <w:autoSpaceDN w:val="0"/>
        <w:adjustRightInd w:val="0"/>
        <w:spacing w:after="13" w:line="240" w:lineRule="auto"/>
        <w:ind w:left="851" w:right="0" w:firstLine="0"/>
        <w:rPr>
          <w:rFonts w:cs="Arial"/>
          <w:szCs w:val="20"/>
        </w:rPr>
      </w:pPr>
      <w:r w:rsidRPr="00CA7A7D">
        <w:rPr>
          <w:rFonts w:cs="Arial"/>
          <w:szCs w:val="20"/>
        </w:rPr>
        <w:t xml:space="preserve">W obrocie zagranicznym mogą występować ograniczenia, a szczegółowe informacje dotyczące wymiarów, limitów masy i zadeklarowanej wartości, szacunkowych terminów doręczania paczek pocztowych oraz deklaracji celnych i ograniczeń w obrocie z poszczególnymi krajami podane są w „Informacjach dodatkowych dotyczących usług pocztowych w obrocie zagranicznym dostępnych na stronie internetowej Wykonawcy oraz w placówkach Wykonawcy. Wykonawca zauważa, że nie wszystkie kraje świadczą usługę zwrotne potwierdzenie odbioru (ZPO) dla przesyłek listowych. Wynika to z przepisów międzynarodowych. Nie przyjmuje się potwierdzenia odbioru do przesyłki rejestrowanej wysyłanej do Brazylii, Danii i Wielkiej Brytanii oraz Irlandii Płn. oraz nie przyjmuje się potwierdzenia odbioru do paczki pocztowej wysyłanej do Kanady i Szwecji. </w:t>
      </w:r>
    </w:p>
    <w:bookmarkEnd w:id="0"/>
    <w:p w14:paraId="7EA499C5" w14:textId="7C8FAFFF" w:rsidR="009E7D89" w:rsidRDefault="00FC1200" w:rsidP="00FC1200">
      <w:pPr>
        <w:autoSpaceDE w:val="0"/>
        <w:autoSpaceDN w:val="0"/>
        <w:adjustRightInd w:val="0"/>
        <w:spacing w:after="13" w:line="240" w:lineRule="auto"/>
        <w:ind w:left="926" w:right="0" w:firstLine="0"/>
      </w:pPr>
      <w:r w:rsidRPr="00CA7A7D">
        <w:rPr>
          <w:rFonts w:cs="Arial"/>
          <w:szCs w:val="20"/>
        </w:rPr>
        <w:lastRenderedPageBreak/>
        <w:t xml:space="preserve">Terminy na wniesienie reklamacji (dla przesyłek listowych poleconych oraz paczek, maksym. termin na złożenie reklamacji z tytułu niewykonania usługi wynosi 6 miesięcy, licząc od dnia następnego po dniu nadania), ich rozpatrzenie (maks. do 3 miesięcy), a także odpowiedzialność operatorów pocztowych i należne odszkodowanie w przypadku niewykonania, bądź nienależytego wykonania usług zostały określone w w/w międzynarodowych pocztowych aktach prawnych oraz Regulaminach usług w obrocie zagranicznym. W przypadku przesyłek listowych poleconych oraz paczek pocztowych w obrocie zagranicznym operatorzy pocztowi odpowiadają jedynie za zaginięcie, uszkodzenie, ubytek zawartości i zwrot przesyłek bez podania przyczyny niedoręczenia. </w:t>
      </w:r>
    </w:p>
    <w:p w14:paraId="398F89F4" w14:textId="675901BD" w:rsidR="00281239" w:rsidRPr="00550ED6" w:rsidRDefault="00C47117">
      <w:pPr>
        <w:numPr>
          <w:ilvl w:val="1"/>
          <w:numId w:val="1"/>
        </w:numPr>
        <w:spacing w:after="13" w:line="281" w:lineRule="auto"/>
        <w:ind w:right="0" w:hanging="360"/>
        <w:rPr>
          <w:szCs w:val="20"/>
        </w:rPr>
      </w:pPr>
      <w:r w:rsidRPr="00550ED6">
        <w:rPr>
          <w:szCs w:val="20"/>
        </w:rPr>
        <w:t xml:space="preserve">Zamawiający zastrzega </w:t>
      </w:r>
      <w:r w:rsidRPr="000C1268">
        <w:rPr>
          <w:rFonts w:eastAsia="Calibri" w:cs="Calibri"/>
          <w:szCs w:val="20"/>
        </w:rPr>
        <w:t>obowiązek osobistego wykonania przez wykonawcę usługi dostarczania wszystkich rodzajów krajowych przesyłek rejestrowanych</w:t>
      </w:r>
      <w:r w:rsidR="0049665E">
        <w:rPr>
          <w:rFonts w:eastAsia="Calibri" w:cs="Calibri"/>
          <w:i/>
          <w:szCs w:val="20"/>
        </w:rPr>
        <w:t xml:space="preserve">; </w:t>
      </w:r>
    </w:p>
    <w:p w14:paraId="52AC1F5F" w14:textId="77777777" w:rsidR="00281239" w:rsidRDefault="00C47117">
      <w:pPr>
        <w:numPr>
          <w:ilvl w:val="1"/>
          <w:numId w:val="1"/>
        </w:numPr>
        <w:ind w:right="0" w:hanging="360"/>
      </w:pPr>
      <w:r>
        <w:t xml:space="preserve">Zamawiający wymaga, aby Wykonawca przyjmował do obrotu pocztowego przesyłki krajowe  i zagraniczne przez 5 dni w tygodniu; </w:t>
      </w:r>
    </w:p>
    <w:p w14:paraId="303C4F29" w14:textId="77777777" w:rsidR="00281239" w:rsidRDefault="00C47117">
      <w:pPr>
        <w:numPr>
          <w:ilvl w:val="1"/>
          <w:numId w:val="1"/>
        </w:numPr>
        <w:spacing w:after="38" w:line="268" w:lineRule="auto"/>
        <w:ind w:right="0" w:hanging="360"/>
      </w:pPr>
      <w:r>
        <w:t xml:space="preserve">Wykonawca zapewnia w ramach realizacji niniejszego zamówienia możliwość bezpłatnego śledzenia przesyłek rejestrowanych krajowych oraz zagranicznych przez stronę WWW. </w:t>
      </w:r>
    </w:p>
    <w:p w14:paraId="14B5B4F5" w14:textId="77777777" w:rsidR="00281239" w:rsidRDefault="00C47117">
      <w:pPr>
        <w:numPr>
          <w:ilvl w:val="0"/>
          <w:numId w:val="1"/>
        </w:numPr>
        <w:ind w:right="0" w:hanging="360"/>
      </w:pPr>
      <w:r>
        <w:t xml:space="preserve">Realizacja usługi odbywać się będzie na następujących warunkach: </w:t>
      </w:r>
    </w:p>
    <w:p w14:paraId="19EBE569" w14:textId="39E1DEC1" w:rsidR="00281239" w:rsidRDefault="00C47117">
      <w:pPr>
        <w:numPr>
          <w:ilvl w:val="1"/>
          <w:numId w:val="1"/>
        </w:numPr>
        <w:ind w:right="0" w:hanging="360"/>
      </w:pPr>
      <w:r>
        <w:t xml:space="preserve">adresowanie przesyłek listowych odbywać się będzie zgodnie ze wzorem stanowiącym Załącznik do umowy; </w:t>
      </w:r>
    </w:p>
    <w:p w14:paraId="09CCAEC9" w14:textId="2F5FC100" w:rsidR="00281239" w:rsidRPr="00781A58" w:rsidRDefault="00FC1200">
      <w:pPr>
        <w:numPr>
          <w:ilvl w:val="1"/>
          <w:numId w:val="1"/>
        </w:numPr>
        <w:ind w:right="0" w:hanging="360"/>
      </w:pPr>
      <w:r w:rsidRPr="00FC1200">
        <w:rPr>
          <w:rFonts w:cs="Arial"/>
          <w:szCs w:val="20"/>
        </w:rPr>
        <w:t>zestawienia nadanych przesyłek listowych nierejestrowanych będą zgodne ze wzorem stanowiącym Załącznik do umowy</w:t>
      </w:r>
      <w:r w:rsidRPr="00FC1200" w:rsidDel="00FC1200">
        <w:rPr>
          <w:rFonts w:cs="Arial"/>
          <w:szCs w:val="20"/>
        </w:rPr>
        <w:t xml:space="preserve"> </w:t>
      </w:r>
      <w:r w:rsidR="00C47117" w:rsidRPr="00781A58">
        <w:t xml:space="preserve">; </w:t>
      </w:r>
    </w:p>
    <w:p w14:paraId="0C5A0CFF" w14:textId="3604D275" w:rsidR="00281239" w:rsidRDefault="00FC1200">
      <w:pPr>
        <w:numPr>
          <w:ilvl w:val="1"/>
          <w:numId w:val="1"/>
        </w:numPr>
        <w:ind w:right="0" w:hanging="360"/>
      </w:pPr>
      <w:r w:rsidRPr="00FC1200">
        <w:rPr>
          <w:rFonts w:cs="Arial"/>
          <w:szCs w:val="20"/>
        </w:rPr>
        <w:t>książka nadawcza dla przesyłek listowych rejestrowanych będzie zgodna ze wzorem stanowiącym Załącznik do umowy</w:t>
      </w:r>
      <w:r w:rsidRPr="00781A58" w:rsidDel="00FC1200">
        <w:rPr>
          <w:rFonts w:cs="Arial"/>
          <w:szCs w:val="20"/>
        </w:rPr>
        <w:t xml:space="preserve"> </w:t>
      </w:r>
      <w:r w:rsidR="00C47117">
        <w:t xml:space="preserve">; </w:t>
      </w:r>
    </w:p>
    <w:p w14:paraId="75B13A0C" w14:textId="77777777" w:rsidR="00281239" w:rsidRDefault="00C47117">
      <w:pPr>
        <w:numPr>
          <w:ilvl w:val="1"/>
          <w:numId w:val="1"/>
        </w:numPr>
        <w:ind w:right="0" w:hanging="360"/>
      </w:pPr>
      <w:r>
        <w:t xml:space="preserve">przekazywanie Wykonawcy przesyłek listowych rejestrowanych odbywać się będzie wg kolejności wpisów do druku zestawienia; </w:t>
      </w:r>
    </w:p>
    <w:p w14:paraId="2B0CCD08" w14:textId="77777777" w:rsidR="00281239" w:rsidRDefault="00C47117">
      <w:pPr>
        <w:numPr>
          <w:ilvl w:val="1"/>
          <w:numId w:val="1"/>
        </w:numPr>
        <w:spacing w:after="38" w:line="268" w:lineRule="auto"/>
        <w:ind w:right="0" w:hanging="360"/>
      </w:pPr>
      <w:r>
        <w:t xml:space="preserve">adresowanie i nadawanie paczek pocztowych odbywać się będzie zgodnie ze standardami pocztowymi; </w:t>
      </w:r>
    </w:p>
    <w:p w14:paraId="25226A53" w14:textId="77777777" w:rsidR="00281239" w:rsidRDefault="00C47117">
      <w:pPr>
        <w:numPr>
          <w:ilvl w:val="1"/>
          <w:numId w:val="1"/>
        </w:numPr>
        <w:spacing w:after="7"/>
        <w:ind w:right="0" w:hanging="360"/>
      </w:pPr>
      <w:r>
        <w:t xml:space="preserve">Wykonawca potwierdza przyjęcie przesyłek do nadania na zestawieniu przesyłek nierejestrowanych i na zestawieniu przesyłek rejestrowanych stanowiących </w:t>
      </w:r>
    </w:p>
    <w:p w14:paraId="3455B165" w14:textId="46D29042" w:rsidR="00281239" w:rsidRDefault="000C1268">
      <w:pPr>
        <w:ind w:left="926" w:right="0" w:firstLine="0"/>
      </w:pPr>
      <w:r>
        <w:t xml:space="preserve">załącznik </w:t>
      </w:r>
      <w:r w:rsidR="00C47117">
        <w:t xml:space="preserve">do umowy; </w:t>
      </w:r>
    </w:p>
    <w:p w14:paraId="56832EDB" w14:textId="6D42EF49" w:rsidR="00281239" w:rsidRPr="000C1268" w:rsidRDefault="001C0426">
      <w:pPr>
        <w:numPr>
          <w:ilvl w:val="1"/>
          <w:numId w:val="1"/>
        </w:numPr>
        <w:ind w:right="0" w:hanging="360"/>
        <w:rPr>
          <w:strike/>
        </w:rPr>
      </w:pPr>
      <w:r>
        <w:t>w obrocie krajowym, w przypadku nieobecności adresata, przedstawiciel Wykonawcy pozostawia zawiadomienie (pierwsze awizo) o próbie dostarczenia przesyłki ze wskazaniem, gdzie i kiedy adresat może odebrać przesyłkę. Termin do odbioru przesyłki przez adresata wynosi 14 dni liczone od dnia następnego po dniu pozostawienia pierwszego awizo, w tym terminie przesyłka jest „awizowana” powtórnie. Po upływie terminu odbioru, przesyłka zwracana jest Zamawiającemu wraz z podaniem przyczyny nieodebrania przez adresata. Po wyczerpaniu możliwości doręczenia przesyłki są zwracane do nadawcy;</w:t>
      </w:r>
    </w:p>
    <w:p w14:paraId="01A9661F" w14:textId="77777777" w:rsidR="00281239" w:rsidRDefault="00C47117">
      <w:pPr>
        <w:numPr>
          <w:ilvl w:val="1"/>
          <w:numId w:val="1"/>
        </w:numPr>
        <w:ind w:right="0" w:hanging="360"/>
      </w:pPr>
      <w:r>
        <w:t xml:space="preserve">w przypadku zagubienia przesyłki, w wyniku czego nie zostanie ona dostarczona do odbiorcy, Zamawiający zastrzega sobie prawo reklamacji. Reklamacja będzie się odbywać zgodnie z obowiązującymi w tym zakresie przepisami prawa; </w:t>
      </w:r>
    </w:p>
    <w:p w14:paraId="5ABF6F94" w14:textId="6AC053F4" w:rsidR="00281239" w:rsidRDefault="00C47117">
      <w:pPr>
        <w:numPr>
          <w:ilvl w:val="1"/>
          <w:numId w:val="1"/>
        </w:numPr>
        <w:ind w:right="0" w:hanging="360"/>
      </w:pPr>
      <w:r>
        <w:t xml:space="preserve">w </w:t>
      </w:r>
      <w:r w:rsidR="0049665E">
        <w:t xml:space="preserve">razie </w:t>
      </w:r>
      <w:r>
        <w:t xml:space="preserve">zaginięcia potwierdzenia odbioru, Zamawiający zastrzega sobie prawo do wystawienia duplikatu; </w:t>
      </w:r>
    </w:p>
    <w:p w14:paraId="7D286312" w14:textId="77777777" w:rsidR="00281239" w:rsidRDefault="00C47117">
      <w:pPr>
        <w:numPr>
          <w:ilvl w:val="1"/>
          <w:numId w:val="1"/>
        </w:numPr>
        <w:ind w:right="0" w:hanging="360"/>
      </w:pPr>
      <w:r>
        <w:t xml:space="preserve">w przypadku, gdy u Zamawiającego będzie wyznaczony jako dzień pracujący sobota  lub jako dzień wolny dzień powszedni, Zamawiający poinformuje o tym Wykonawcę z co najmniej trzydniowym wyprzedzeniem. </w:t>
      </w:r>
    </w:p>
    <w:p w14:paraId="116D9AD5" w14:textId="34DE2509" w:rsidR="00281239" w:rsidRDefault="00C47117">
      <w:pPr>
        <w:numPr>
          <w:ilvl w:val="0"/>
          <w:numId w:val="1"/>
        </w:numPr>
        <w:ind w:right="0" w:hanging="360"/>
      </w:pPr>
      <w:r>
        <w:t xml:space="preserve">Wykonywanie umowy będzie </w:t>
      </w:r>
      <w:r w:rsidR="0049665E">
        <w:t xml:space="preserve">realizowane </w:t>
      </w:r>
      <w:r>
        <w:t>szczególni</w:t>
      </w:r>
      <w:r w:rsidR="0049665E">
        <w:t>e</w:t>
      </w:r>
      <w:r>
        <w:t xml:space="preserve"> </w:t>
      </w:r>
      <w:r w:rsidR="0049665E">
        <w:t>na podstawie następujących  przepisów</w:t>
      </w:r>
      <w:r>
        <w:t xml:space="preserve">: </w:t>
      </w:r>
    </w:p>
    <w:p w14:paraId="34D9A96F" w14:textId="763247FB" w:rsidR="00281239" w:rsidRDefault="00C47117">
      <w:pPr>
        <w:numPr>
          <w:ilvl w:val="0"/>
          <w:numId w:val="2"/>
        </w:numPr>
        <w:spacing w:after="38" w:line="268" w:lineRule="auto"/>
        <w:ind w:right="0" w:hanging="360"/>
      </w:pPr>
      <w:r>
        <w:t>ustawy z dnia 23 listopada 2012 r. Prawo pocztowe (</w:t>
      </w:r>
      <w:proofErr w:type="spellStart"/>
      <w:r>
        <w:t>DzU</w:t>
      </w:r>
      <w:proofErr w:type="spellEnd"/>
      <w:r>
        <w:t xml:space="preserve"> z 2020 poz. 2320 ze zm.), </w:t>
      </w:r>
    </w:p>
    <w:p w14:paraId="1D45C8D0" w14:textId="1370369F" w:rsidR="00281239" w:rsidRDefault="00C47117">
      <w:pPr>
        <w:numPr>
          <w:ilvl w:val="0"/>
          <w:numId w:val="2"/>
        </w:numPr>
        <w:spacing w:after="12" w:line="268" w:lineRule="auto"/>
        <w:ind w:right="0" w:hanging="360"/>
      </w:pPr>
      <w:r>
        <w:t>ustawy z dnia 11 września 2019 r. Prawo zamówień publicznych (</w:t>
      </w:r>
      <w:proofErr w:type="spellStart"/>
      <w:r>
        <w:t>DzU</w:t>
      </w:r>
      <w:proofErr w:type="spellEnd"/>
      <w:r>
        <w:t xml:space="preserve"> z 2022 r., poz. </w:t>
      </w:r>
    </w:p>
    <w:p w14:paraId="1935A3F7" w14:textId="77777777" w:rsidR="00281239" w:rsidRDefault="00C47117">
      <w:pPr>
        <w:spacing w:after="38" w:line="268" w:lineRule="auto"/>
        <w:ind w:left="516" w:right="0" w:hanging="10"/>
      </w:pPr>
      <w:r>
        <w:lastRenderedPageBreak/>
        <w:t xml:space="preserve">25 ze zm.), </w:t>
      </w:r>
    </w:p>
    <w:p w14:paraId="39DFEA63" w14:textId="23BA5EAD" w:rsidR="00281239" w:rsidRDefault="00C47117">
      <w:pPr>
        <w:numPr>
          <w:ilvl w:val="0"/>
          <w:numId w:val="2"/>
        </w:numPr>
        <w:spacing w:after="9" w:line="268" w:lineRule="auto"/>
        <w:ind w:right="0" w:hanging="360"/>
      </w:pPr>
      <w:r>
        <w:t>ustawy z dnia 10 maja 2018 r. o ochronie danych osobowych (</w:t>
      </w:r>
      <w:proofErr w:type="spellStart"/>
      <w:r>
        <w:t>DzU</w:t>
      </w:r>
      <w:proofErr w:type="spellEnd"/>
      <w:r>
        <w:t xml:space="preserve"> z 2019 r., poz. </w:t>
      </w:r>
    </w:p>
    <w:p w14:paraId="5E2F9F85" w14:textId="77777777" w:rsidR="00281239" w:rsidRDefault="00C47117">
      <w:pPr>
        <w:spacing w:after="38" w:line="268" w:lineRule="auto"/>
        <w:ind w:left="516" w:right="0" w:hanging="10"/>
      </w:pPr>
      <w:r>
        <w:t xml:space="preserve">1781 ze zm.), </w:t>
      </w:r>
    </w:p>
    <w:p w14:paraId="64079D10" w14:textId="38A046BA" w:rsidR="00281239" w:rsidRDefault="00C47117">
      <w:pPr>
        <w:numPr>
          <w:ilvl w:val="0"/>
          <w:numId w:val="2"/>
        </w:numPr>
        <w:spacing w:after="7"/>
        <w:ind w:right="0" w:hanging="360"/>
      </w:pPr>
      <w:r>
        <w:t>rozporządzenia Ministra Administracji i Cyfryzacji z dnia 29 kwietnia 2013 roku w sprawie warunków wykonywania usług powszechnych przez operatora wyznaczonego (</w:t>
      </w:r>
      <w:proofErr w:type="spellStart"/>
      <w:r>
        <w:t>DzU</w:t>
      </w:r>
      <w:proofErr w:type="spellEnd"/>
      <w:r>
        <w:t xml:space="preserve"> </w:t>
      </w:r>
    </w:p>
    <w:p w14:paraId="1321504C" w14:textId="77777777" w:rsidR="00281239" w:rsidRDefault="00C47117" w:rsidP="000C1268">
      <w:pPr>
        <w:spacing w:after="38" w:line="268" w:lineRule="auto"/>
        <w:ind w:right="0"/>
      </w:pPr>
      <w:r>
        <w:t xml:space="preserve">2020 r., poz. 1026 ze zm.), </w:t>
      </w:r>
    </w:p>
    <w:p w14:paraId="00123327" w14:textId="32CA3062" w:rsidR="00281239" w:rsidRDefault="00C47117">
      <w:pPr>
        <w:numPr>
          <w:ilvl w:val="0"/>
          <w:numId w:val="2"/>
        </w:numPr>
        <w:ind w:right="0" w:hanging="360"/>
      </w:pPr>
      <w:r>
        <w:t xml:space="preserve">rozporządzenia Ministra Administracji i Cyfryzacji z dnia 26 listopada 2013 roku </w:t>
      </w:r>
      <w:r w:rsidR="0049665E">
        <w:br/>
      </w:r>
      <w:r>
        <w:t>w sprawie reklamacji usługi pocztowej (</w:t>
      </w:r>
      <w:proofErr w:type="spellStart"/>
      <w:r>
        <w:t>DzU</w:t>
      </w:r>
      <w:proofErr w:type="spellEnd"/>
      <w:r>
        <w:t xml:space="preserve"> z 2019 r., poz. 474 ze zm.), </w:t>
      </w:r>
    </w:p>
    <w:p w14:paraId="554113D7" w14:textId="21F9DEB1" w:rsidR="00281239" w:rsidRDefault="00C47117">
      <w:pPr>
        <w:numPr>
          <w:ilvl w:val="0"/>
          <w:numId w:val="2"/>
        </w:numPr>
        <w:ind w:right="0" w:hanging="360"/>
      </w:pPr>
      <w:r>
        <w:t xml:space="preserve">ustawa z dnia 14 czerwca 1960 r. Kodeks postępowania administracyjnego (tekst </w:t>
      </w:r>
      <w:r w:rsidR="00FC0FC3">
        <w:t xml:space="preserve">jedn. </w:t>
      </w:r>
      <w:proofErr w:type="spellStart"/>
      <w:r>
        <w:t>DzU</w:t>
      </w:r>
      <w:proofErr w:type="spellEnd"/>
      <w:r>
        <w:t xml:space="preserve"> z 2020 r. poz. 256 z</w:t>
      </w:r>
      <w:r w:rsidR="0049665E">
        <w:t>e</w:t>
      </w:r>
      <w:r>
        <w:t xml:space="preserve"> zm.), </w:t>
      </w:r>
    </w:p>
    <w:p w14:paraId="5731AD50" w14:textId="1CE9DF18" w:rsidR="00281239" w:rsidRDefault="00C47117" w:rsidP="000C1268">
      <w:pPr>
        <w:numPr>
          <w:ilvl w:val="0"/>
          <w:numId w:val="2"/>
        </w:numPr>
        <w:spacing w:after="10"/>
        <w:ind w:right="0" w:hanging="360"/>
      </w:pPr>
      <w:r>
        <w:t xml:space="preserve">rozporządzenia Parlamentu Europejskiego i Rady (UE) 2016/679 z dnia 27 kwietnia </w:t>
      </w:r>
      <w:r w:rsidR="00FC0FC3">
        <w:br/>
      </w:r>
      <w:r>
        <w:t xml:space="preserve">2016 </w:t>
      </w:r>
      <w:r w:rsidR="00FC0FC3">
        <w:t xml:space="preserve">r. w sprawie ochrony osób fizycznych w związku z przetwarzaniem danych osobowych </w:t>
      </w:r>
      <w:r>
        <w:t xml:space="preserve">i w sprawie swobodnego przepływu takich danych oraz uchylenia dyrektywy 95/46/WE, </w:t>
      </w:r>
    </w:p>
    <w:p w14:paraId="27D2AC88" w14:textId="70C834E6" w:rsidR="00281239" w:rsidRDefault="00FC0FC3">
      <w:pPr>
        <w:numPr>
          <w:ilvl w:val="0"/>
          <w:numId w:val="2"/>
        </w:numPr>
        <w:ind w:right="0" w:hanging="360"/>
      </w:pPr>
      <w:r>
        <w:t xml:space="preserve">międzynarodowych przepisów pocztowych </w:t>
      </w:r>
      <w:r w:rsidR="005D5FC8">
        <w:t>w przypadku usług pocztowych w obrocie zagranicznym</w:t>
      </w:r>
      <w:r w:rsidR="00C47117">
        <w:t xml:space="preserve">, </w:t>
      </w:r>
    </w:p>
    <w:p w14:paraId="5831A869" w14:textId="77777777" w:rsidR="00281239" w:rsidRDefault="00C47117">
      <w:pPr>
        <w:numPr>
          <w:ilvl w:val="0"/>
          <w:numId w:val="2"/>
        </w:numPr>
        <w:ind w:right="0" w:hanging="360"/>
      </w:pPr>
      <w:r>
        <w:t xml:space="preserve">inne obowiązujące akty prawne dotyczące przedmiotu zamówienia. </w:t>
      </w:r>
    </w:p>
    <w:p w14:paraId="0416972B" w14:textId="5A6BC6DE" w:rsidR="00281239" w:rsidRDefault="00C47117">
      <w:pPr>
        <w:numPr>
          <w:ilvl w:val="0"/>
          <w:numId w:val="3"/>
        </w:numPr>
        <w:ind w:right="0" w:hanging="360"/>
      </w:pPr>
      <w:r>
        <w:t xml:space="preserve">Zamawiający wymaga, aby czynności polegające </w:t>
      </w:r>
      <w:r w:rsidR="00240E00">
        <w:t xml:space="preserve">na </w:t>
      </w:r>
      <w:r>
        <w:t xml:space="preserve">dostarczaniu przesyłek do siedziby zamawiającego oraz ich przyjmowaniu do obrotu pocztowego były wykonywane przez co najmniej 50% osób zatrudnionych przez Wykonawcę na podstawie umowy o pracę przez cały okres obowiązywania umowy. </w:t>
      </w:r>
    </w:p>
    <w:p w14:paraId="71B209FC" w14:textId="1049B8AB" w:rsidR="00281239" w:rsidRDefault="00C47117">
      <w:pPr>
        <w:numPr>
          <w:ilvl w:val="0"/>
          <w:numId w:val="3"/>
        </w:numPr>
        <w:ind w:right="0" w:hanging="360"/>
      </w:pPr>
      <w:r>
        <w:t xml:space="preserve">W trakcie realizacji zamówienia na każde wezwanie Zamawiającego w wyznaczonym </w:t>
      </w:r>
      <w:r w:rsidR="00240E00">
        <w:br/>
      </w:r>
      <w:r>
        <w:t xml:space="preserve">w tym wezwaniu terminie Wykonawca przedłoży Zamawiającemu dowody w celu potwierdzenia spełnienia wymogu zatrudnienia na podstawie stosunku pracy przez Wykonawcę lub zgłoszonego Zamawiającemu Podwykonawcę osób wykonujących wszystkie wskazane w Opisie Przedmiotu Zamówienia czynności w trakcie realizacji zamówienia. Dowodami są </w:t>
      </w:r>
      <w:r w:rsidR="00240E00">
        <w:t>zwłaszcza</w:t>
      </w:r>
      <w:r>
        <w:t xml:space="preserve">: </w:t>
      </w:r>
    </w:p>
    <w:p w14:paraId="5635FFAF" w14:textId="77777777" w:rsidR="00281239" w:rsidRDefault="00C47117">
      <w:pPr>
        <w:numPr>
          <w:ilvl w:val="1"/>
          <w:numId w:val="3"/>
        </w:numPr>
        <w:ind w:right="0" w:hanging="360"/>
      </w:pPr>
      <w:r>
        <w:t xml:space="preserve">oświadczenie zatrudnionego pracownika; </w:t>
      </w:r>
    </w:p>
    <w:p w14:paraId="709EAF38" w14:textId="77777777" w:rsidR="00281239" w:rsidRDefault="00C47117">
      <w:pPr>
        <w:numPr>
          <w:ilvl w:val="1"/>
          <w:numId w:val="3"/>
        </w:numPr>
        <w:ind w:right="0" w:hanging="360"/>
      </w:pPr>
      <w:r>
        <w:t xml:space="preserve">oświadczenie Wykonawcy lub Podwykonawcy o zatrudnieniu pracownika na podstawie umowy o pracę, </w:t>
      </w:r>
    </w:p>
    <w:p w14:paraId="12B4DE99" w14:textId="27570669" w:rsidR="00281239" w:rsidRDefault="00C47117">
      <w:pPr>
        <w:numPr>
          <w:ilvl w:val="1"/>
          <w:numId w:val="3"/>
        </w:numPr>
        <w:ind w:right="0" w:hanging="360"/>
      </w:pPr>
      <w:r>
        <w:t>poświadczona za zgodność z oryginałem odpowiednio przez Wykonawcę lub Podwykonawcę kopia umowy o pracę zatrudnionego pracownika (kopia umowy/umów powinna zostać zanonimizowana w sposób zapewniający ochronę danych osobowych pracowników, zgodnie z przepisami ustawy z dnia 10 maja 2018r. o ochronie danych osobowych (t</w:t>
      </w:r>
      <w:r w:rsidR="00240E00">
        <w:t xml:space="preserve">ekst </w:t>
      </w:r>
      <w:r>
        <w:t>j</w:t>
      </w:r>
      <w:r w:rsidR="00240E00">
        <w:t>edn</w:t>
      </w:r>
      <w:r>
        <w:t xml:space="preserve">. </w:t>
      </w:r>
      <w:proofErr w:type="spellStart"/>
      <w:r>
        <w:t>DzU</w:t>
      </w:r>
      <w:proofErr w:type="spellEnd"/>
      <w:r>
        <w:t xml:space="preserve"> z 2019 r. poz. 1781) tj.: szczególni</w:t>
      </w:r>
      <w:r w:rsidR="00240E00">
        <w:t>e</w:t>
      </w:r>
      <w:r>
        <w:t xml:space="preserve"> bez adresów, n</w:t>
      </w:r>
      <w:r w:rsidR="00240E00">
        <w:t>umerów</w:t>
      </w:r>
      <w:r>
        <w:t xml:space="preserve"> PESEL pracowników); </w:t>
      </w:r>
    </w:p>
    <w:p w14:paraId="3FC7F198" w14:textId="77777777" w:rsidR="00281239" w:rsidRDefault="00C47117">
      <w:pPr>
        <w:numPr>
          <w:ilvl w:val="1"/>
          <w:numId w:val="3"/>
        </w:numPr>
        <w:spacing w:after="12" w:line="268" w:lineRule="auto"/>
        <w:ind w:right="0" w:hanging="360"/>
      </w:pPr>
      <w:r>
        <w:t xml:space="preserve">inne dokumenty: </w:t>
      </w:r>
    </w:p>
    <w:p w14:paraId="748C3686" w14:textId="7E3DAFB8" w:rsidR="00281239" w:rsidRDefault="00C47117">
      <w:pPr>
        <w:ind w:left="588" w:right="0" w:hanging="286"/>
      </w:pPr>
      <w:r>
        <w:t xml:space="preserve">    zawierające informacje, w tym dane osobowe, niezbędne do weryfikacji zatrudnienia na  podstawie umowy o pracę, </w:t>
      </w:r>
      <w:r w:rsidR="00240E00">
        <w:t>zwłaszcza:</w:t>
      </w:r>
      <w:r>
        <w:t xml:space="preserve"> imię i nazwisko zatrudnionego pracownika, datę zawarcia umowy o pracę, rodzaj umowy o pracę i zakres obowiązków pracownika oraz wysokość wynagrodzenia. </w:t>
      </w:r>
    </w:p>
    <w:p w14:paraId="42149882" w14:textId="7D57C277" w:rsidR="00281239" w:rsidRDefault="00C47117">
      <w:pPr>
        <w:numPr>
          <w:ilvl w:val="0"/>
          <w:numId w:val="3"/>
        </w:numPr>
        <w:ind w:right="0" w:hanging="360"/>
      </w:pPr>
      <w:r>
        <w:t xml:space="preserve">W trakcie realizacji zamówienia Zamawiający uprawniony jest do wykonywania czynności kontrolnych wobec Wykonawcy odnośnie spełniania przez Wykonawcę lub zgłoszonego Zamawiającemu Podwykonawcę wymogu zatrudnienia na podstawie stosunku pracy osób wykonujących wszystkie wskazane w Opisie Przedmiotu Zamówienia czynności. Zamawiający uprawniony jest </w:t>
      </w:r>
      <w:r w:rsidR="00240E00">
        <w:t>przede wszystkim</w:t>
      </w:r>
      <w:r>
        <w:t xml:space="preserve"> do:  </w:t>
      </w:r>
    </w:p>
    <w:p w14:paraId="2B2B875F" w14:textId="1C8EB882" w:rsidR="00281239" w:rsidRDefault="00C47117">
      <w:pPr>
        <w:numPr>
          <w:ilvl w:val="1"/>
          <w:numId w:val="3"/>
        </w:numPr>
        <w:ind w:right="0" w:hanging="360"/>
      </w:pPr>
      <w:r>
        <w:t xml:space="preserve">żądania oświadczeń i dokumentów w zakresie potwierdzenia spełniania ww. wymogów i dokonywania ich oceny </w:t>
      </w:r>
    </w:p>
    <w:p w14:paraId="3FF520AD" w14:textId="77777777" w:rsidR="00281239" w:rsidRDefault="00C47117">
      <w:pPr>
        <w:numPr>
          <w:ilvl w:val="1"/>
          <w:numId w:val="3"/>
        </w:numPr>
        <w:spacing w:after="19" w:line="259" w:lineRule="auto"/>
        <w:ind w:right="0" w:hanging="360"/>
      </w:pPr>
      <w:r>
        <w:t xml:space="preserve">żądania wyjaśnień w przypadku wątpliwości w zakresie potwierdzenia spełniania ww. </w:t>
      </w:r>
    </w:p>
    <w:p w14:paraId="39F36C88" w14:textId="77777777" w:rsidR="00281239" w:rsidRDefault="00C47117">
      <w:pPr>
        <w:ind w:left="739" w:right="0" w:firstLine="0"/>
      </w:pPr>
      <w:r>
        <w:t xml:space="preserve">wymogów, </w:t>
      </w:r>
    </w:p>
    <w:p w14:paraId="4A977586" w14:textId="0AB2E261" w:rsidR="00281239" w:rsidRDefault="00C47117">
      <w:pPr>
        <w:numPr>
          <w:ilvl w:val="1"/>
          <w:numId w:val="3"/>
        </w:numPr>
        <w:ind w:right="0" w:hanging="360"/>
      </w:pPr>
      <w:r>
        <w:lastRenderedPageBreak/>
        <w:t>przeprowadzania kontroli na miejscu wykonywania świadczenia</w:t>
      </w:r>
      <w:r w:rsidR="00240E00">
        <w:t>.</w:t>
      </w:r>
      <w:r>
        <w:t xml:space="preserve"> </w:t>
      </w:r>
    </w:p>
    <w:p w14:paraId="2F846089" w14:textId="79812E6D" w:rsidR="00281239" w:rsidRDefault="00C47117">
      <w:pPr>
        <w:numPr>
          <w:ilvl w:val="0"/>
          <w:numId w:val="3"/>
        </w:numPr>
        <w:ind w:right="0" w:hanging="360"/>
      </w:pPr>
      <w:r>
        <w:t xml:space="preserve">Zamawiający oświadcza, że nadawcami przesyłek są jego jednostki organizacyjne </w:t>
      </w:r>
      <w:r w:rsidR="00240E00">
        <w:br/>
      </w:r>
      <w:r>
        <w:t xml:space="preserve">i komórki administracyjne mające także inny adres niż siedziba Zamawiającego, tj. pl. Uniwersytecki 1 50-137 Wrocław. Zamawiający zobowiązuje się, że w nazwie nadawcy będzie widniała zawsze nazwa Zamawiającego, ale adres jednostki wysyłającej przesyłkę może być inny niż adres siedziby Zamawiającego, np. Uniwersytet Wrocławski, Wydział Nauk Społecznych, ul. Koszarowa 3, 51-149 Wrocław. </w:t>
      </w:r>
    </w:p>
    <w:p w14:paraId="04782CDB" w14:textId="40ECA9D5" w:rsidR="00281239" w:rsidRDefault="00C47117">
      <w:pPr>
        <w:numPr>
          <w:ilvl w:val="0"/>
          <w:numId w:val="3"/>
        </w:numPr>
        <w:ind w:right="0" w:hanging="360"/>
      </w:pPr>
      <w:r>
        <w:t xml:space="preserve">Zamawiający oświadcza, że wszystkie jego jednostki organizacyjne i komórki administracyjne, które dokonują wysyłki korespondencji,  znajdują się we Wrocławiu, </w:t>
      </w:r>
      <w:r w:rsidR="00240E00">
        <w:br/>
      </w:r>
      <w:r>
        <w:t>w Wojsławicach k. Niemczy – Arboretum</w:t>
      </w:r>
      <w:r w:rsidR="000C1268">
        <w:t>,</w:t>
      </w:r>
      <w:r>
        <w:t xml:space="preserve"> w Karpaczu – Stacja Ekologiczna Storczyk</w:t>
      </w:r>
      <w:r w:rsidR="000C1268">
        <w:t xml:space="preserve"> oraz w Białkowie k. Wińska. </w:t>
      </w:r>
    </w:p>
    <w:p w14:paraId="115D932C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Miejsca przyjęcia przez Wykonawcę do nadania przesyłek pocztowych oraz stosownej dokumentacji potwierdzającej ich ilość i rodzaj są uzgodnione z Wykonawcą. Przekazanie Wykonawcy przesyłek do nadania będzie następować codziennie w dni robocze (poniedziałek – piątek w godz. 8.00–14.00). </w:t>
      </w:r>
    </w:p>
    <w:p w14:paraId="4DE3A8A5" w14:textId="3E96B9D6" w:rsidR="00281239" w:rsidRDefault="00C47117">
      <w:pPr>
        <w:numPr>
          <w:ilvl w:val="0"/>
          <w:numId w:val="3"/>
        </w:numPr>
        <w:ind w:right="0" w:hanging="360"/>
      </w:pPr>
      <w:r>
        <w:t xml:space="preserve">Doręczanie zwrotów przez Wykonawcę Zamawiającemu będzie następować codziennie </w:t>
      </w:r>
      <w:r w:rsidR="00240E00">
        <w:br/>
      </w:r>
      <w:r>
        <w:t xml:space="preserve">w dni robocze (poniedziałek – piątek w godz. 8.00–15.30), a miejscem doręczenia jest Kancelaria Ogólna, pl. Uniwersytecki 1 50-137 Wrocław, pokój 34. </w:t>
      </w:r>
    </w:p>
    <w:p w14:paraId="31C99B7B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Zamawiający zastrzega, że podane ilości przesyłek mają charakter szacunkowy, stanowią element niezbędny służący wyborowi jak najkorzystniejszej oferty i nie stanowią ze strony Zamawiającego zobowiązania do nadawania przesyłek w podanych ilościach. </w:t>
      </w:r>
    </w:p>
    <w:p w14:paraId="1E5E99D9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Dokonane zmiany ilościowe nie mogą stanowić podstawy do wnoszenia przez Wykonawcę jakichkolwiek roszczeń w toku realizacji umowy oraz nie będą stanowiły podstawy do zmiany umowy. </w:t>
      </w:r>
    </w:p>
    <w:p w14:paraId="2E40DD58" w14:textId="73E8A6D0" w:rsidR="00281239" w:rsidRDefault="00C47117">
      <w:pPr>
        <w:numPr>
          <w:ilvl w:val="0"/>
          <w:numId w:val="3"/>
        </w:numPr>
        <w:ind w:right="0" w:hanging="360"/>
      </w:pPr>
      <w:r>
        <w:t xml:space="preserve">Zamawiający oczekuje od Wykonawcy realizowania usługi pocztowej w formie opłaty </w:t>
      </w:r>
      <w:r w:rsidR="00240E00">
        <w:br/>
      </w:r>
      <w:r>
        <w:t xml:space="preserve">„z dołu”. </w:t>
      </w:r>
    </w:p>
    <w:p w14:paraId="097845B3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Zamawiający wyklucza opłatę gotówkową. </w:t>
      </w:r>
    </w:p>
    <w:p w14:paraId="66169780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Zamawiający zastrzega, że podstawową formą opłaty za usługę będzie opłata „z dołu” przy użyciu terminala pocztowego lub pieczątki, będących własnością Zamawiającego.  </w:t>
      </w:r>
    </w:p>
    <w:p w14:paraId="0BBF018A" w14:textId="77777777" w:rsidR="00281239" w:rsidRDefault="00C47117">
      <w:pPr>
        <w:numPr>
          <w:ilvl w:val="0"/>
          <w:numId w:val="3"/>
        </w:numPr>
        <w:ind w:right="0" w:hanging="360"/>
      </w:pPr>
      <w:r>
        <w:t xml:space="preserve">Za przesyłki zwrotne Zamawiający rozlicza się przy użyciu terminala pocztowego, każdorazowo po otrzymaniu zestawienia zbiorczego zwrotnych przesyłek. </w:t>
      </w:r>
    </w:p>
    <w:p w14:paraId="39AABE29" w14:textId="0C7B8F53" w:rsidR="00281239" w:rsidRDefault="00C47117">
      <w:pPr>
        <w:numPr>
          <w:ilvl w:val="0"/>
          <w:numId w:val="3"/>
        </w:numPr>
        <w:ind w:right="0" w:hanging="360"/>
      </w:pPr>
      <w:r>
        <w:t xml:space="preserve">Przesyłki opłacone w formie opłaty </w:t>
      </w:r>
      <w:r w:rsidR="00240E00">
        <w:t>„</w:t>
      </w:r>
      <w:r>
        <w:t>z dołu</w:t>
      </w:r>
      <w:r w:rsidR="00240E00">
        <w:t>”</w:t>
      </w:r>
      <w:r>
        <w:t xml:space="preserve"> przy użyciu terminala pocztowego lub pieczątki, będących własnością Zamawiającego, nadawane zostaną w placówce Wykonawcy, która znajduje się najbliżej siedziby Zamawiającego mieszczącej się przy </w:t>
      </w:r>
      <w:r w:rsidR="00BF7B0D">
        <w:br/>
      </w:r>
      <w:r>
        <w:t xml:space="preserve">pl. Uniwersyteckim 1, w odległości nie większej niż 600 m.  </w:t>
      </w:r>
    </w:p>
    <w:p w14:paraId="664DF91E" w14:textId="7F6B65FA" w:rsidR="00281239" w:rsidRDefault="00C47117">
      <w:pPr>
        <w:numPr>
          <w:ilvl w:val="0"/>
          <w:numId w:val="3"/>
        </w:numPr>
        <w:ind w:right="0" w:hanging="360"/>
      </w:pPr>
      <w:r>
        <w:t xml:space="preserve">Przesyłki opłacane w formie opłaty </w:t>
      </w:r>
      <w:r w:rsidR="00240E00">
        <w:t>„</w:t>
      </w:r>
      <w:r>
        <w:t>z dołu</w:t>
      </w:r>
      <w:r w:rsidR="00240E00">
        <w:t>”</w:t>
      </w:r>
      <w:r>
        <w:t xml:space="preserve"> nadawane będą</w:t>
      </w:r>
      <w:r w:rsidR="00240E00" w:rsidRPr="00240E00">
        <w:t xml:space="preserve"> </w:t>
      </w:r>
      <w:r w:rsidR="00240E00">
        <w:t>w placówce Wykonawcy</w:t>
      </w:r>
      <w:r>
        <w:t xml:space="preserve">: </w:t>
      </w:r>
    </w:p>
    <w:p w14:paraId="585AE603" w14:textId="163A491E" w:rsidR="00281239" w:rsidRDefault="00BF7B0D" w:rsidP="000A752F">
      <w:pPr>
        <w:ind w:right="0"/>
      </w:pPr>
      <w:r>
        <w:t xml:space="preserve">– </w:t>
      </w:r>
      <w:r w:rsidR="00C47117">
        <w:t xml:space="preserve">która znajduje się najbliżej siedziby Zamawiającego mieszczącej się przy </w:t>
      </w:r>
      <w:r>
        <w:br/>
      </w:r>
      <w:r w:rsidR="00C47117">
        <w:t xml:space="preserve">pl. Uniwersyteckim 1, w odległości nie większej niż 600 m; </w:t>
      </w:r>
    </w:p>
    <w:p w14:paraId="3236F36E" w14:textId="251373BA" w:rsidR="00281239" w:rsidRDefault="00BF7B0D" w:rsidP="000A752F">
      <w:pPr>
        <w:spacing w:after="38" w:line="268" w:lineRule="auto"/>
        <w:ind w:right="0"/>
      </w:pPr>
      <w:r>
        <w:t xml:space="preserve">– </w:t>
      </w:r>
      <w:r w:rsidR="00C47117">
        <w:t xml:space="preserve">mieszczącej się nie dalej niż 600 m od siedziby Muzeum Przyrodniczego, </w:t>
      </w:r>
      <w:r>
        <w:br/>
      </w:r>
      <w:r w:rsidR="00C47117">
        <w:t xml:space="preserve">ul. Sienkiewicza 21; </w:t>
      </w:r>
    </w:p>
    <w:p w14:paraId="0125A3D9" w14:textId="19FD176E" w:rsidR="00281239" w:rsidRDefault="00BF7B0D" w:rsidP="000A752F">
      <w:pPr>
        <w:ind w:right="0"/>
      </w:pPr>
      <w:r>
        <w:t xml:space="preserve">– </w:t>
      </w:r>
      <w:r w:rsidR="00C47117">
        <w:t xml:space="preserve">w Niemczy; </w:t>
      </w:r>
    </w:p>
    <w:p w14:paraId="1C0B69FE" w14:textId="2DD5B18D" w:rsidR="00281239" w:rsidRDefault="00BF7B0D">
      <w:pPr>
        <w:ind w:right="0"/>
      </w:pPr>
      <w:r>
        <w:t xml:space="preserve">– </w:t>
      </w:r>
      <w:r w:rsidR="00C47117">
        <w:t xml:space="preserve">w Karpaczu. </w:t>
      </w:r>
    </w:p>
    <w:p w14:paraId="452D5B72" w14:textId="1CF48AE1" w:rsidR="000C1268" w:rsidRDefault="000C1268" w:rsidP="000A752F">
      <w:pPr>
        <w:ind w:right="0"/>
      </w:pPr>
      <w:r>
        <w:t>- mieszczącej się najbliżej siedziby zamawiającego w Białkowie.</w:t>
      </w:r>
    </w:p>
    <w:p w14:paraId="4D65F22A" w14:textId="052E0068" w:rsidR="00281239" w:rsidRPr="000A752F" w:rsidRDefault="001C0426">
      <w:pPr>
        <w:numPr>
          <w:ilvl w:val="0"/>
          <w:numId w:val="3"/>
        </w:numPr>
        <w:ind w:right="0" w:hanging="360"/>
        <w:rPr>
          <w:strike/>
        </w:rPr>
      </w:pPr>
      <w:r>
        <w:t xml:space="preserve">Ceny usług świadczonych przez Wykonawcę wynikają z kalkulacji cenowej zawartej </w:t>
      </w:r>
      <w:r w:rsidR="00BF7B0D">
        <w:br/>
      </w:r>
      <w:r>
        <w:t xml:space="preserve">w ofercie Wykonawcy. W przypadku złożenia przez Wykonawcę oferty </w:t>
      </w:r>
      <w:r w:rsidR="00BF7B0D">
        <w:t xml:space="preserve">opierającej się na </w:t>
      </w:r>
      <w:r>
        <w:t xml:space="preserve"> </w:t>
      </w:r>
      <w:r w:rsidR="00BF7B0D">
        <w:t xml:space="preserve">cenach </w:t>
      </w:r>
      <w:r>
        <w:t xml:space="preserve">z cennika na powszechne usługi pocztowe, zatwierdzonego przez Prezesa Urzędu Komunikacji Elektronicznej oraz w </w:t>
      </w:r>
      <w:r w:rsidR="00BF7B0D">
        <w:t xml:space="preserve">razie </w:t>
      </w:r>
      <w:r>
        <w:t xml:space="preserve">zmiany cennika na powszechne usługi pocztowe, ceny w nim określone będą miały każdorazowo zastosowanie w realizacji umowy, </w:t>
      </w:r>
      <w:r w:rsidR="00BF7B0D">
        <w:t>jeśli</w:t>
      </w:r>
      <w:r>
        <w:t xml:space="preserve"> Wykonawca dostarczy zmieniony cennik Zamawiającemu.</w:t>
      </w:r>
    </w:p>
    <w:p w14:paraId="5B081DEE" w14:textId="7A65CA65" w:rsidR="00281239" w:rsidRDefault="00C47117">
      <w:pPr>
        <w:numPr>
          <w:ilvl w:val="0"/>
          <w:numId w:val="3"/>
        </w:numPr>
        <w:ind w:right="0" w:hanging="360"/>
      </w:pPr>
      <w:r>
        <w:lastRenderedPageBreak/>
        <w:t xml:space="preserve">Zamawiający wymaga, aby wszelkie dokumenty finansowe, zestawienia, wykazy zwrotów, korespondencja związane z realizacją usługi dostarczane były na adres: Uniwersytet Wrocławski, pl. Uniwersytecki 1, 50-137 Wrocław. </w:t>
      </w:r>
    </w:p>
    <w:p w14:paraId="61712A25" w14:textId="0A6734D0" w:rsidR="00281239" w:rsidRDefault="00C47117">
      <w:pPr>
        <w:numPr>
          <w:ilvl w:val="0"/>
          <w:numId w:val="3"/>
        </w:numPr>
        <w:ind w:right="0" w:hanging="360"/>
      </w:pPr>
      <w:r>
        <w:t xml:space="preserve">Zamawiający wymaga, aby Wykonawca wyznaczył Opiekuna Klienta. </w:t>
      </w:r>
    </w:p>
    <w:p w14:paraId="4D6AC2DB" w14:textId="32DBBF7B" w:rsidR="00281239" w:rsidRDefault="00C47117">
      <w:pPr>
        <w:numPr>
          <w:ilvl w:val="0"/>
          <w:numId w:val="3"/>
        </w:numPr>
        <w:ind w:right="0" w:hanging="360"/>
      </w:pPr>
      <w:r>
        <w:t xml:space="preserve">Zamawiający domaga się od Wykonawcy dopilnowania prawidłowego wypełnienia zwrotnych potwierdzeń odbioru (data, czytelny podpis adresata przesyłki, pieczątka firmy). </w:t>
      </w:r>
    </w:p>
    <w:p w14:paraId="13C2173D" w14:textId="1B4B1187" w:rsidR="00281239" w:rsidRDefault="00C47117">
      <w:pPr>
        <w:numPr>
          <w:ilvl w:val="0"/>
          <w:numId w:val="3"/>
        </w:numPr>
        <w:ind w:right="0" w:hanging="360"/>
      </w:pPr>
      <w:r>
        <w:t xml:space="preserve">Zamawiający wymaga, aby faktury za usługę pocztową były wystawiane raz w miesiącu. W wyjątkowych przypadkach, na wyraźnie życzenie Zamawiającego, Wykonawca wystawi osobną fakturę  dla każdego zlecenia (dla każdej partii przesyłek). </w:t>
      </w:r>
    </w:p>
    <w:p w14:paraId="1802442C" w14:textId="617BC726" w:rsidR="00281239" w:rsidRPr="000A752F" w:rsidRDefault="001C0426">
      <w:pPr>
        <w:numPr>
          <w:ilvl w:val="0"/>
          <w:numId w:val="3"/>
        </w:numPr>
        <w:ind w:right="0" w:hanging="360"/>
        <w:rPr>
          <w:strike/>
        </w:rPr>
      </w:pPr>
      <w:r>
        <w:t xml:space="preserve">Podstawą obliczenia należności będzie suma opłat za przesyłki faktycznie nadane </w:t>
      </w:r>
      <w:r w:rsidR="00BF7B0D">
        <w:br/>
      </w:r>
      <w:r>
        <w:t>i zwrócone z powodu braku możliwości ich doręczenia w okresie rozliczeniowym, potwierdzone co do ilości na podstawie dokumentów nadawczych i oddawczych, przy czym obowiązywać będą ceny jednostkowe określone w kalkulacji cenowej Wykonawcy</w:t>
      </w:r>
      <w:r w:rsidR="00BF7B0D">
        <w:t>,</w:t>
      </w:r>
      <w:r>
        <w:t xml:space="preserve"> a za zlecone przez Zamawiającego usługi w ramach przedmiotu zamówienia</w:t>
      </w:r>
      <w:r w:rsidR="00BF7B0D">
        <w:t>,</w:t>
      </w:r>
      <w:r>
        <w:t xml:space="preserve"> </w:t>
      </w:r>
      <w:r w:rsidR="00BF7B0D">
        <w:t xml:space="preserve">lecz </w:t>
      </w:r>
      <w:r>
        <w:t>nieobjęte formularzem „Kalkulacja Cenowa” Zamawiający dokona zapłaty zgodnie z cennikiem Wykonawcy, obowiązującym w dniu realizacji usługi.</w:t>
      </w:r>
    </w:p>
    <w:p w14:paraId="29FE0AA0" w14:textId="69CE041E" w:rsidR="00281239" w:rsidRDefault="00C47117">
      <w:pPr>
        <w:numPr>
          <w:ilvl w:val="0"/>
          <w:numId w:val="3"/>
        </w:numPr>
        <w:ind w:right="0" w:hanging="360"/>
      </w:pPr>
      <w:r>
        <w:t xml:space="preserve">Zamawiający wymaga, by w placówkach, w których będą nadawane przesyłki przez Zamawiającego, istniała </w:t>
      </w:r>
      <w:r w:rsidR="00BF7B0D">
        <w:t xml:space="preserve">sposobność </w:t>
      </w:r>
      <w:r>
        <w:t xml:space="preserve">przekazania przesyłek do wysłania przez osobę niepełnosprawną, przez np. możliwość wjazdu wózkiem inwalidzkim lub zamontowania barierki do podtrzymania się, wyposażenie w krzesła </w:t>
      </w:r>
      <w:r w:rsidR="00BF7B0D">
        <w:t xml:space="preserve">czy </w:t>
      </w:r>
      <w:r>
        <w:t xml:space="preserve">inne udogodnienia. </w:t>
      </w:r>
    </w:p>
    <w:p w14:paraId="11EA7046" w14:textId="1B46A2E4" w:rsidR="00281239" w:rsidRPr="003E777E" w:rsidRDefault="00FC1200">
      <w:pPr>
        <w:numPr>
          <w:ilvl w:val="0"/>
          <w:numId w:val="3"/>
        </w:numPr>
        <w:ind w:right="0" w:hanging="360"/>
        <w:rPr>
          <w:strike/>
        </w:rPr>
      </w:pPr>
      <w:r w:rsidRPr="00FC1200">
        <w:rPr>
          <w:rFonts w:cs="Arial"/>
          <w:szCs w:val="20"/>
        </w:rPr>
        <w:t>Wykonawca dostarczy wzór prawidłowego adresowania przesyłek, wzór zestawienia przesyłek listowych nierejestrowanych, wzór książki nadawczej dla przesyłek listowych rejestrowanych</w:t>
      </w:r>
      <w:r w:rsidR="003E777E" w:rsidRPr="00781A58">
        <w:t>,</w:t>
      </w:r>
      <w:r w:rsidR="003E777E">
        <w:t xml:space="preserve"> wzór zestawienia przesyłek listowych rejestrowanych oraz wzór znaku opłaty </w:t>
      </w:r>
      <w:r w:rsidR="00BF7B0D">
        <w:t>„</w:t>
      </w:r>
      <w:r w:rsidR="003E777E">
        <w:t>z dołu</w:t>
      </w:r>
      <w:r w:rsidR="00BF7B0D">
        <w:t>”</w:t>
      </w:r>
      <w:r w:rsidR="003E777E">
        <w:t xml:space="preserve"> przy użyciu pieczątki, które stanowić będą załączniki do umowy. Zamawiający nie wyklucza możliwości nadawania przesyłek </w:t>
      </w:r>
      <w:r w:rsidR="00BF7B0D">
        <w:br/>
      </w:r>
      <w:r w:rsidR="003E777E">
        <w:t>z wykorzystaniem bezpłatnej internetowej aplikacji elektronicznej zapewnionej przez Wykonawcę.</w:t>
      </w:r>
    </w:p>
    <w:p w14:paraId="69E1E03B" w14:textId="04EEC233" w:rsidR="00281239" w:rsidRDefault="00C47117">
      <w:pPr>
        <w:numPr>
          <w:ilvl w:val="0"/>
          <w:numId w:val="3"/>
        </w:numPr>
        <w:spacing w:after="38" w:line="268" w:lineRule="auto"/>
        <w:ind w:right="0" w:hanging="360"/>
      </w:pPr>
      <w:r>
        <w:t xml:space="preserve">Wykonawca dostarczy dane do uzupełnienia załączników do umowy. </w:t>
      </w:r>
    </w:p>
    <w:p w14:paraId="1964171F" w14:textId="19815AC7" w:rsidR="00281239" w:rsidRDefault="00C47117">
      <w:pPr>
        <w:numPr>
          <w:ilvl w:val="0"/>
          <w:numId w:val="3"/>
        </w:numPr>
        <w:spacing w:after="7"/>
        <w:ind w:right="0" w:hanging="360"/>
      </w:pPr>
      <w:r>
        <w:t xml:space="preserve">Wykonawca musi być wpisany do rejestru operatorów pocztowych prowadzonego przez Prezesa Urzędu Komunikacji Elektronicznej zgodnie z art. 6 ust. 1 ustawy z dnia 23 listopada 2012 r. Prawo Pocztowe. </w:t>
      </w:r>
    </w:p>
    <w:p w14:paraId="2FD7B204" w14:textId="1847689F" w:rsidR="00281239" w:rsidRDefault="00281239">
      <w:pPr>
        <w:spacing w:after="0" w:line="259" w:lineRule="auto"/>
        <w:ind w:left="360" w:right="0" w:firstLine="0"/>
        <w:jc w:val="left"/>
      </w:pPr>
    </w:p>
    <w:sectPr w:rsidR="00281239">
      <w:footerReference w:type="even" r:id="rId8"/>
      <w:footerReference w:type="default" r:id="rId9"/>
      <w:footerReference w:type="first" r:id="rId10"/>
      <w:pgSz w:w="11906" w:h="16838"/>
      <w:pgMar w:top="1176" w:right="1130" w:bottom="1262" w:left="140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8687" w14:textId="77777777" w:rsidR="00FD14F8" w:rsidRDefault="00FD14F8">
      <w:pPr>
        <w:spacing w:after="0" w:line="240" w:lineRule="auto"/>
      </w:pPr>
      <w:r>
        <w:separator/>
      </w:r>
    </w:p>
  </w:endnote>
  <w:endnote w:type="continuationSeparator" w:id="0">
    <w:p w14:paraId="372F160F" w14:textId="77777777" w:rsidR="00FD14F8" w:rsidRDefault="00FD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1AF8" w14:textId="77777777" w:rsidR="00281239" w:rsidRDefault="00C47117">
    <w:pPr>
      <w:spacing w:after="0" w:line="259" w:lineRule="auto"/>
      <w:ind w:left="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0118212" w14:textId="77777777" w:rsidR="00281239" w:rsidRDefault="00C47117">
    <w:pPr>
      <w:spacing w:after="0" w:line="259" w:lineRule="auto"/>
      <w:ind w:left="19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9AD1" w14:textId="3F974C9E" w:rsidR="00281239" w:rsidRDefault="00C47117">
    <w:pPr>
      <w:spacing w:after="0" w:line="259" w:lineRule="auto"/>
      <w:ind w:left="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177" w:rsidRPr="00B34177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8EF021E" w14:textId="77777777" w:rsidR="00281239" w:rsidRDefault="00C47117">
    <w:pPr>
      <w:spacing w:after="0" w:line="259" w:lineRule="auto"/>
      <w:ind w:left="19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FE1D" w14:textId="77777777" w:rsidR="00281239" w:rsidRDefault="00C47117">
    <w:pPr>
      <w:spacing w:after="0" w:line="259" w:lineRule="auto"/>
      <w:ind w:left="1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9A6559B" w14:textId="77777777" w:rsidR="00281239" w:rsidRDefault="00C47117">
    <w:pPr>
      <w:spacing w:after="0" w:line="259" w:lineRule="auto"/>
      <w:ind w:left="19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58DA" w14:textId="77777777" w:rsidR="00FD14F8" w:rsidRDefault="00FD14F8">
      <w:pPr>
        <w:spacing w:after="0" w:line="240" w:lineRule="auto"/>
      </w:pPr>
      <w:r>
        <w:separator/>
      </w:r>
    </w:p>
  </w:footnote>
  <w:footnote w:type="continuationSeparator" w:id="0">
    <w:p w14:paraId="29981BA5" w14:textId="77777777" w:rsidR="00FD14F8" w:rsidRDefault="00FD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3A6"/>
    <w:multiLevelType w:val="hybridMultilevel"/>
    <w:tmpl w:val="96280088"/>
    <w:lvl w:ilvl="0" w:tplc="CFD6C370">
      <w:start w:val="4"/>
      <w:numFmt w:val="decimal"/>
      <w:lvlText w:val="%1."/>
      <w:lvlJc w:val="left"/>
      <w:pPr>
        <w:ind w:left="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E0E12">
      <w:start w:val="1"/>
      <w:numFmt w:val="decimal"/>
      <w:lvlText w:val="%2)"/>
      <w:lvlJc w:val="left"/>
      <w:pPr>
        <w:ind w:left="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762892">
      <w:start w:val="1"/>
      <w:numFmt w:val="lowerRoman"/>
      <w:lvlText w:val="%3"/>
      <w:lvlJc w:val="left"/>
      <w:pPr>
        <w:ind w:left="13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A22FCE">
      <w:start w:val="1"/>
      <w:numFmt w:val="decimal"/>
      <w:lvlText w:val="%4"/>
      <w:lvlJc w:val="left"/>
      <w:pPr>
        <w:ind w:left="20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4D03A">
      <w:start w:val="1"/>
      <w:numFmt w:val="lowerLetter"/>
      <w:lvlText w:val="%5"/>
      <w:lvlJc w:val="left"/>
      <w:pPr>
        <w:ind w:left="28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01B54">
      <w:start w:val="1"/>
      <w:numFmt w:val="lowerRoman"/>
      <w:lvlText w:val="%6"/>
      <w:lvlJc w:val="left"/>
      <w:pPr>
        <w:ind w:left="35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A49EA">
      <w:start w:val="1"/>
      <w:numFmt w:val="decimal"/>
      <w:lvlText w:val="%7"/>
      <w:lvlJc w:val="left"/>
      <w:pPr>
        <w:ind w:left="42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F8B73C">
      <w:start w:val="1"/>
      <w:numFmt w:val="lowerLetter"/>
      <w:lvlText w:val="%8"/>
      <w:lvlJc w:val="left"/>
      <w:pPr>
        <w:ind w:left="49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0589A">
      <w:start w:val="1"/>
      <w:numFmt w:val="lowerRoman"/>
      <w:lvlText w:val="%9"/>
      <w:lvlJc w:val="left"/>
      <w:pPr>
        <w:ind w:left="56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6C087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397A3D"/>
    <w:multiLevelType w:val="hybridMultilevel"/>
    <w:tmpl w:val="AA96B344"/>
    <w:lvl w:ilvl="0" w:tplc="C6D69B2A">
      <w:start w:val="1"/>
      <w:numFmt w:val="bullet"/>
      <w:lvlText w:val="•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4CB398">
      <w:start w:val="1"/>
      <w:numFmt w:val="bullet"/>
      <w:lvlText w:val="-"/>
      <w:lvlJc w:val="left"/>
      <w:pPr>
        <w:ind w:left="75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84BFC">
      <w:start w:val="1"/>
      <w:numFmt w:val="bullet"/>
      <w:lvlText w:val="▪"/>
      <w:lvlJc w:val="left"/>
      <w:pPr>
        <w:ind w:left="14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66FBE">
      <w:start w:val="1"/>
      <w:numFmt w:val="bullet"/>
      <w:lvlText w:val="•"/>
      <w:lvlJc w:val="left"/>
      <w:pPr>
        <w:ind w:left="21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8E3372">
      <w:start w:val="1"/>
      <w:numFmt w:val="bullet"/>
      <w:lvlText w:val="o"/>
      <w:lvlJc w:val="left"/>
      <w:pPr>
        <w:ind w:left="289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606D2">
      <w:start w:val="1"/>
      <w:numFmt w:val="bullet"/>
      <w:lvlText w:val="▪"/>
      <w:lvlJc w:val="left"/>
      <w:pPr>
        <w:ind w:left="361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E11FE">
      <w:start w:val="1"/>
      <w:numFmt w:val="bullet"/>
      <w:lvlText w:val="•"/>
      <w:lvlJc w:val="left"/>
      <w:pPr>
        <w:ind w:left="433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345210">
      <w:start w:val="1"/>
      <w:numFmt w:val="bullet"/>
      <w:lvlText w:val="o"/>
      <w:lvlJc w:val="left"/>
      <w:pPr>
        <w:ind w:left="505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44486">
      <w:start w:val="1"/>
      <w:numFmt w:val="bullet"/>
      <w:lvlText w:val="▪"/>
      <w:lvlJc w:val="left"/>
      <w:pPr>
        <w:ind w:left="577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E0D68"/>
    <w:multiLevelType w:val="hybridMultilevel"/>
    <w:tmpl w:val="158AA760"/>
    <w:lvl w:ilvl="0" w:tplc="7DB03F7C">
      <w:start w:val="1"/>
      <w:numFmt w:val="decimal"/>
      <w:lvlText w:val="%1."/>
      <w:lvlJc w:val="left"/>
      <w:pPr>
        <w:ind w:left="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8B906">
      <w:start w:val="1"/>
      <w:numFmt w:val="lowerLetter"/>
      <w:lvlText w:val="%2)"/>
      <w:lvlJc w:val="left"/>
      <w:pPr>
        <w:ind w:left="9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60E8C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ADCDA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DC748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2A6FA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5A6E06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6ABD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A0624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B0F0A"/>
    <w:multiLevelType w:val="hybridMultilevel"/>
    <w:tmpl w:val="39B890CE"/>
    <w:lvl w:ilvl="0" w:tplc="D3EC82D4">
      <w:start w:val="1"/>
      <w:numFmt w:val="lowerLetter"/>
      <w:lvlText w:val="%1)"/>
      <w:lvlJc w:val="left"/>
      <w:pPr>
        <w:ind w:left="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08544">
      <w:start w:val="1"/>
      <w:numFmt w:val="lowerLetter"/>
      <w:lvlText w:val="%2"/>
      <w:lvlJc w:val="left"/>
      <w:pPr>
        <w:ind w:left="1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18B178">
      <w:start w:val="1"/>
      <w:numFmt w:val="lowerRoman"/>
      <w:lvlText w:val="%3"/>
      <w:lvlJc w:val="left"/>
      <w:pPr>
        <w:ind w:left="1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22DE6">
      <w:start w:val="1"/>
      <w:numFmt w:val="decimal"/>
      <w:lvlText w:val="%4"/>
      <w:lvlJc w:val="left"/>
      <w:pPr>
        <w:ind w:left="2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E9A54">
      <w:start w:val="1"/>
      <w:numFmt w:val="lowerLetter"/>
      <w:lvlText w:val="%5"/>
      <w:lvlJc w:val="left"/>
      <w:pPr>
        <w:ind w:left="34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06D6C">
      <w:start w:val="1"/>
      <w:numFmt w:val="lowerRoman"/>
      <w:lvlText w:val="%6"/>
      <w:lvlJc w:val="left"/>
      <w:pPr>
        <w:ind w:left="4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E6082">
      <w:start w:val="1"/>
      <w:numFmt w:val="decimal"/>
      <w:lvlText w:val="%7"/>
      <w:lvlJc w:val="left"/>
      <w:pPr>
        <w:ind w:left="48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8AD3C2">
      <w:start w:val="1"/>
      <w:numFmt w:val="lowerLetter"/>
      <w:lvlText w:val="%8"/>
      <w:lvlJc w:val="left"/>
      <w:pPr>
        <w:ind w:left="55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4E32A">
      <w:start w:val="1"/>
      <w:numFmt w:val="lowerRoman"/>
      <w:lvlText w:val="%9"/>
      <w:lvlJc w:val="left"/>
      <w:pPr>
        <w:ind w:left="62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1743955">
    <w:abstractNumId w:val="3"/>
  </w:num>
  <w:num w:numId="2" w16cid:durableId="2040010866">
    <w:abstractNumId w:val="4"/>
  </w:num>
  <w:num w:numId="3" w16cid:durableId="1936286438">
    <w:abstractNumId w:val="0"/>
  </w:num>
  <w:num w:numId="4" w16cid:durableId="25374405">
    <w:abstractNumId w:val="2"/>
  </w:num>
  <w:num w:numId="5" w16cid:durableId="25830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39"/>
    <w:rsid w:val="000A752F"/>
    <w:rsid w:val="000B38A8"/>
    <w:rsid w:val="000C1268"/>
    <w:rsid w:val="001C0426"/>
    <w:rsid w:val="001C32CB"/>
    <w:rsid w:val="00240E00"/>
    <w:rsid w:val="00281239"/>
    <w:rsid w:val="00284B39"/>
    <w:rsid w:val="002A00C9"/>
    <w:rsid w:val="003A1BCC"/>
    <w:rsid w:val="003D6106"/>
    <w:rsid w:val="003E777E"/>
    <w:rsid w:val="004850C6"/>
    <w:rsid w:val="0049665E"/>
    <w:rsid w:val="004B5407"/>
    <w:rsid w:val="00550ED6"/>
    <w:rsid w:val="005D5FC8"/>
    <w:rsid w:val="006608AD"/>
    <w:rsid w:val="00781A58"/>
    <w:rsid w:val="007E0048"/>
    <w:rsid w:val="007E48E7"/>
    <w:rsid w:val="00864295"/>
    <w:rsid w:val="008D5701"/>
    <w:rsid w:val="00934815"/>
    <w:rsid w:val="009449AD"/>
    <w:rsid w:val="00996D9C"/>
    <w:rsid w:val="009E7D89"/>
    <w:rsid w:val="00A3183C"/>
    <w:rsid w:val="00A94FB4"/>
    <w:rsid w:val="00B175B2"/>
    <w:rsid w:val="00B34177"/>
    <w:rsid w:val="00B60C0B"/>
    <w:rsid w:val="00BF7B0D"/>
    <w:rsid w:val="00C47117"/>
    <w:rsid w:val="00DB1368"/>
    <w:rsid w:val="00E271D0"/>
    <w:rsid w:val="00F03906"/>
    <w:rsid w:val="00F330EE"/>
    <w:rsid w:val="00F4250D"/>
    <w:rsid w:val="00F6097B"/>
    <w:rsid w:val="00FC0FC3"/>
    <w:rsid w:val="00FC1200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D9DD"/>
  <w15:docId w15:val="{5186C788-F125-4D87-9A4B-8C173E15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70" w:lineRule="auto"/>
      <w:ind w:left="891" w:right="5" w:hanging="37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426"/>
    <w:rPr>
      <w:rFonts w:ascii="Segoe UI" w:eastAsia="Verdana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64295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customStyle="1" w:styleId="Default">
    <w:name w:val="Default"/>
    <w:rsid w:val="00B175B2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D96D-3184-406F-90AC-BB33BE1D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Monika Golińczak</cp:lastModifiedBy>
  <cp:revision>2</cp:revision>
  <cp:lastPrinted>2023-10-06T06:13:00Z</cp:lastPrinted>
  <dcterms:created xsi:type="dcterms:W3CDTF">2024-01-29T13:08:00Z</dcterms:created>
  <dcterms:modified xsi:type="dcterms:W3CDTF">2024-01-29T13:08:00Z</dcterms:modified>
</cp:coreProperties>
</file>