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EEB3" w14:textId="77777777" w:rsidR="00DA19D3" w:rsidRDefault="00DA19D3" w:rsidP="00DA19D3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059A4590" w14:textId="77777777" w:rsidR="00DA19D3" w:rsidRDefault="00DA19D3" w:rsidP="00DA19D3">
      <w:pPr>
        <w:tabs>
          <w:tab w:val="left" w:pos="3396"/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20759C" wp14:editId="084CB200">
            <wp:simplePos x="0" y="0"/>
            <wp:positionH relativeFrom="column">
              <wp:posOffset>2231721</wp:posOffset>
            </wp:positionH>
            <wp:positionV relativeFrom="paragraph">
              <wp:posOffset>11430</wp:posOffset>
            </wp:positionV>
            <wp:extent cx="1478943" cy="723569"/>
            <wp:effectExtent l="0" t="0" r="0" b="0"/>
            <wp:wrapNone/>
            <wp:docPr id="15" name="Obraz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11853B3-2E5B-86EE-1686-750D8271E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29657" name="Obraz 24772965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11853B3-2E5B-86EE-1686-750D8271E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3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B5472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293568E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796C67D0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ED79BC9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</w:p>
    <w:p w14:paraId="4080465C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015552B1" wp14:editId="4151F59E">
            <wp:extent cx="1541820" cy="592134"/>
            <wp:effectExtent l="0" t="0" r="1270" b="0"/>
            <wp:docPr id="383913952" name="Obraz 3839139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F645CAF-1D4D-BF2C-1533-829E9F64F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20" cy="5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8172F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048736A" wp14:editId="76804D3F">
            <wp:simplePos x="0" y="0"/>
            <wp:positionH relativeFrom="column">
              <wp:posOffset>2235432</wp:posOffset>
            </wp:positionH>
            <wp:positionV relativeFrom="paragraph">
              <wp:posOffset>116343</wp:posOffset>
            </wp:positionV>
            <wp:extent cx="1467584" cy="445273"/>
            <wp:effectExtent l="0" t="0" r="0" b="0"/>
            <wp:wrapNone/>
            <wp:docPr id="1679303419" name="Obraz 167930341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6="http://schemas.microsoft.com/office/drawing/2014/main" id="{3D7B5B12-B817-4388-3D5C-10EBBC0CA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03419" name="Obraz 167930341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D7B5B12-B817-4388-3D5C-10EBBC0CA2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584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E1ECB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9303ED8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6AE7A9ED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546ED18C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3A69C9CB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  <w:r w:rsidRPr="00952D78">
        <w:rPr>
          <w:rFonts w:ascii="Tahoma" w:eastAsia="Times New Roman" w:hAnsi="Tahoma" w:cs="Tahoma"/>
          <w:b/>
          <w:bCs/>
          <w:noProof/>
          <w:kern w:val="32"/>
          <w:sz w:val="18"/>
          <w:szCs w:val="18"/>
          <w:lang w:eastAsia="pl-PL"/>
        </w:rPr>
        <w:drawing>
          <wp:inline distT="0" distB="0" distL="0" distR="0" wp14:anchorId="33205C61" wp14:editId="7B84CC14">
            <wp:extent cx="695236" cy="463686"/>
            <wp:effectExtent l="0" t="0" r="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2798B7-125A-DA6A-8CB5-0724A5F1E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6" cy="46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F33BC" w14:textId="77777777" w:rsidR="00DA19D3" w:rsidRDefault="00DA19D3" w:rsidP="00DA19D3">
      <w:pPr>
        <w:tabs>
          <w:tab w:val="right" w:leader="hyphen" w:pos="9530"/>
        </w:tabs>
        <w:spacing w:after="0" w:line="276" w:lineRule="auto"/>
        <w:jc w:val="center"/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</w:pPr>
    </w:p>
    <w:p w14:paraId="1675D789" w14:textId="77777777" w:rsidR="00AE3E21" w:rsidRDefault="00AE3E21" w:rsidP="005A447A">
      <w:pPr>
        <w:jc w:val="right"/>
        <w:rPr>
          <w:rFonts w:ascii="Tahoma" w:hAnsi="Tahoma" w:cs="Tahoma"/>
          <w:b/>
          <w:sz w:val="18"/>
          <w:szCs w:val="18"/>
        </w:rPr>
      </w:pPr>
    </w:p>
    <w:p w14:paraId="5EC8BC18" w14:textId="4B03C08A" w:rsidR="005A447A" w:rsidRPr="002C7798" w:rsidRDefault="005A447A" w:rsidP="005A447A">
      <w:pPr>
        <w:jc w:val="right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Załącznik nr 1</w:t>
      </w:r>
      <w:r w:rsidR="0064086E" w:rsidRPr="002C7798">
        <w:rPr>
          <w:rFonts w:ascii="Tahoma" w:hAnsi="Tahoma" w:cs="Tahoma"/>
          <w:b/>
          <w:sz w:val="18"/>
          <w:szCs w:val="18"/>
        </w:rPr>
        <w:t>.</w:t>
      </w:r>
      <w:r w:rsidR="0018363E">
        <w:rPr>
          <w:rFonts w:ascii="Tahoma" w:hAnsi="Tahoma" w:cs="Tahoma"/>
          <w:b/>
          <w:sz w:val="18"/>
          <w:szCs w:val="18"/>
        </w:rPr>
        <w:t>5</w:t>
      </w:r>
      <w:r w:rsidR="0064086E" w:rsidRPr="002C7798">
        <w:rPr>
          <w:rFonts w:ascii="Tahoma" w:hAnsi="Tahoma" w:cs="Tahoma"/>
          <w:b/>
          <w:sz w:val="18"/>
          <w:szCs w:val="18"/>
        </w:rPr>
        <w:t xml:space="preserve"> </w:t>
      </w:r>
      <w:r w:rsidRPr="002C7798">
        <w:rPr>
          <w:rFonts w:ascii="Tahoma" w:hAnsi="Tahoma" w:cs="Tahoma"/>
          <w:b/>
          <w:sz w:val="18"/>
          <w:szCs w:val="18"/>
        </w:rPr>
        <w:t>do SWZ</w:t>
      </w:r>
    </w:p>
    <w:p w14:paraId="2C2C3F75" w14:textId="77777777" w:rsidR="005D50F2" w:rsidRDefault="005D50F2" w:rsidP="005A447A">
      <w:pPr>
        <w:jc w:val="center"/>
        <w:rPr>
          <w:rFonts w:ascii="Tahoma" w:hAnsi="Tahoma" w:cs="Tahoma"/>
          <w:b/>
          <w:sz w:val="18"/>
          <w:szCs w:val="18"/>
        </w:rPr>
      </w:pPr>
    </w:p>
    <w:p w14:paraId="482C4F0C" w14:textId="77777777" w:rsidR="00D21EBC" w:rsidRPr="002C7798" w:rsidRDefault="005A447A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>OPIS PRZEDMIOTU ZAMÓWIENIA</w:t>
      </w:r>
    </w:p>
    <w:p w14:paraId="66E14C02" w14:textId="6B2636CD" w:rsidR="00395390" w:rsidRPr="002C7798" w:rsidRDefault="00F616D9" w:rsidP="005A447A">
      <w:pPr>
        <w:jc w:val="center"/>
        <w:rPr>
          <w:rFonts w:ascii="Tahoma" w:hAnsi="Tahoma" w:cs="Tahoma"/>
          <w:b/>
          <w:sz w:val="18"/>
          <w:szCs w:val="18"/>
        </w:rPr>
      </w:pPr>
      <w:r w:rsidRPr="002C7798">
        <w:rPr>
          <w:rFonts w:ascii="Tahoma" w:hAnsi="Tahoma" w:cs="Tahoma"/>
          <w:b/>
          <w:sz w:val="18"/>
          <w:szCs w:val="18"/>
        </w:rPr>
        <w:t xml:space="preserve">Część </w:t>
      </w:r>
      <w:r w:rsidR="0018363E">
        <w:rPr>
          <w:rFonts w:ascii="Tahoma" w:hAnsi="Tahoma" w:cs="Tahoma"/>
          <w:b/>
          <w:sz w:val="18"/>
          <w:szCs w:val="18"/>
        </w:rPr>
        <w:t>5</w:t>
      </w:r>
      <w:r w:rsidRPr="002C7798">
        <w:rPr>
          <w:rFonts w:ascii="Tahoma" w:hAnsi="Tahoma" w:cs="Tahoma"/>
          <w:b/>
          <w:sz w:val="18"/>
          <w:szCs w:val="18"/>
        </w:rPr>
        <w:t xml:space="preserve"> -</w:t>
      </w:r>
      <w:r w:rsidR="00F303C3" w:rsidRPr="002C7798">
        <w:rPr>
          <w:rFonts w:ascii="Tahoma" w:hAnsi="Tahoma" w:cs="Tahoma"/>
          <w:b/>
          <w:sz w:val="18"/>
          <w:szCs w:val="18"/>
        </w:rPr>
        <w:t xml:space="preserve"> </w:t>
      </w:r>
      <w:r w:rsidR="0018363E" w:rsidRPr="003D29E3">
        <w:rPr>
          <w:rFonts w:ascii="Tahoma" w:hAnsi="Tahoma" w:cs="Tahoma"/>
          <w:b/>
          <w:bCs/>
          <w:sz w:val="20"/>
          <w:szCs w:val="20"/>
        </w:rPr>
        <w:t xml:space="preserve">Dostawa </w:t>
      </w:r>
      <w:r w:rsidR="0018363E">
        <w:rPr>
          <w:rFonts w:ascii="Tahoma" w:hAnsi="Tahoma" w:cs="Tahoma"/>
          <w:b/>
          <w:bCs/>
          <w:sz w:val="18"/>
          <w:szCs w:val="18"/>
        </w:rPr>
        <w:t>komputera stacjonarnego</w:t>
      </w:r>
      <w:r w:rsidR="0018363E" w:rsidRPr="003D29E3">
        <w:rPr>
          <w:rFonts w:ascii="Tahoma" w:hAnsi="Tahoma" w:cs="Tahoma"/>
          <w:b/>
          <w:bCs/>
          <w:sz w:val="18"/>
          <w:szCs w:val="18"/>
        </w:rPr>
        <w:t xml:space="preserve"> typu „serwer obliczeniowy</w:t>
      </w:r>
      <w:r w:rsidR="00037286">
        <w:rPr>
          <w:rFonts w:ascii="Tahoma" w:hAnsi="Tahoma" w:cs="Tahoma"/>
          <w:b/>
          <w:bCs/>
          <w:sz w:val="18"/>
          <w:szCs w:val="18"/>
        </w:rPr>
        <w:t>”</w:t>
      </w:r>
    </w:p>
    <w:p w14:paraId="6C2DE1F5" w14:textId="77777777" w:rsidR="00A53D82" w:rsidRPr="002C7798" w:rsidRDefault="00A53D82" w:rsidP="00A53D82">
      <w:pPr>
        <w:contextualSpacing/>
        <w:jc w:val="center"/>
        <w:rPr>
          <w:rFonts w:ascii="Tahoma" w:hAnsi="Tahoma" w:cs="Tahoma"/>
          <w:sz w:val="18"/>
          <w:szCs w:val="18"/>
        </w:rPr>
      </w:pPr>
      <w:r w:rsidRPr="002C7798">
        <w:rPr>
          <w:rFonts w:ascii="Tahoma" w:hAnsi="Tahoma" w:cs="Tahoma"/>
          <w:sz w:val="18"/>
          <w:szCs w:val="18"/>
        </w:rPr>
        <w:t xml:space="preserve">w postępowaniu o udzielenie zamówienia publicznego prowadzonym w trybie podstawowym bez negocjacji pn. </w:t>
      </w:r>
    </w:p>
    <w:p w14:paraId="42807543" w14:textId="64A37B27" w:rsidR="0003799B" w:rsidRPr="002C7798" w:rsidRDefault="0018363E" w:rsidP="0003799B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hAnsi="Tahoma" w:cs="Tahoma"/>
          <w:b/>
          <w:bCs/>
          <w:sz w:val="18"/>
          <w:szCs w:val="18"/>
        </w:rPr>
        <w:t>„</w:t>
      </w:r>
      <w:r w:rsidRPr="00D47B7C">
        <w:rPr>
          <w:rFonts w:ascii="Tahoma" w:hAnsi="Tahoma" w:cs="Tahoma"/>
          <w:b/>
          <w:bCs/>
          <w:sz w:val="18"/>
          <w:szCs w:val="18"/>
        </w:rPr>
        <w:t>Dostawa komputerów stacjonarnych typu "stacje robocze i serwer obliczeniowy” oraz  laptopów i monitorów w podziale na 9 części</w:t>
      </w:r>
      <w:r w:rsidRPr="00935A41">
        <w:rPr>
          <w:rFonts w:ascii="Tahoma" w:hAnsi="Tahoma" w:cs="Tahoma"/>
          <w:b/>
          <w:bCs/>
          <w:sz w:val="18"/>
          <w:szCs w:val="18"/>
        </w:rPr>
        <w:t>”, nr ref.: DZP/ZP/</w:t>
      </w:r>
      <w:r>
        <w:rPr>
          <w:rFonts w:ascii="Tahoma" w:hAnsi="Tahoma" w:cs="Tahoma"/>
          <w:b/>
          <w:bCs/>
          <w:sz w:val="18"/>
          <w:szCs w:val="18"/>
        </w:rPr>
        <w:t>31</w:t>
      </w:r>
      <w:r w:rsidRPr="00935A41">
        <w:rPr>
          <w:rFonts w:ascii="Tahoma" w:hAnsi="Tahoma" w:cs="Tahoma"/>
          <w:b/>
          <w:bCs/>
          <w:sz w:val="18"/>
          <w:szCs w:val="18"/>
        </w:rPr>
        <w:t>/IFPAN/2023/MS</w:t>
      </w:r>
    </w:p>
    <w:p w14:paraId="551F6793" w14:textId="77777777" w:rsidR="00F616D9" w:rsidRPr="002C7798" w:rsidRDefault="00F616D9" w:rsidP="00DC5ABE">
      <w:pPr>
        <w:spacing w:after="0" w:line="240" w:lineRule="auto"/>
        <w:jc w:val="both"/>
        <w:rPr>
          <w:rFonts w:ascii="Tahoma" w:eastAsia="Calibri" w:hAnsi="Tahoma" w:cs="Tahoma"/>
          <w:bCs/>
          <w:sz w:val="18"/>
          <w:szCs w:val="18"/>
        </w:rPr>
      </w:pPr>
    </w:p>
    <w:p w14:paraId="30D5633F" w14:textId="77777777" w:rsidR="00DC5ABE" w:rsidRPr="002C7798" w:rsidRDefault="00841ED1" w:rsidP="009860E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bCs/>
          <w:sz w:val="18"/>
          <w:szCs w:val="18"/>
        </w:rPr>
      </w:pPr>
      <w:r w:rsidRPr="002C7798">
        <w:rPr>
          <w:rFonts w:ascii="Tahoma" w:eastAsia="Calibri" w:hAnsi="Tahoma" w:cs="Tahoma"/>
          <w:bCs/>
          <w:sz w:val="18"/>
          <w:szCs w:val="18"/>
        </w:rPr>
        <w:t xml:space="preserve">Wymagania ogólne: </w:t>
      </w:r>
    </w:p>
    <w:p w14:paraId="054D307F" w14:textId="77777777" w:rsidR="00C51FE2" w:rsidRPr="00136031" w:rsidRDefault="00C51FE2" w:rsidP="00C51FE2">
      <w:p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</w:p>
    <w:p w14:paraId="7D4A2BF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Dostarczony przedmiot zamówienia musi być fabrycznie nowy, nieużywany, nie powystawowy nieregenerowany, kompletny oraz musi posiadać niezbędne instrukcje i gwarancje w języku polskim lub angielskim. Przez artykuł fabrycznie nowy Zamawiający rozumie produkty wyprodukowane nie wcześniej niż 12 miesięcy przed ich dostarczeniem Zamawiającemu, wykonane z nowych elementów, bez śladów uszkodzenia, w oryginalnych opakowaniach producenta z widocznym logo, symbolem produktu, posiadające wszelkie zabezpieczenia. Kartę gwarancyjną oraz instrukcję obsługi Wykonawca dostarczy Zamawiającemu wraz z dostawą.</w:t>
      </w:r>
    </w:p>
    <w:p w14:paraId="21865710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ofercie wymagane jest podanie producenta oraz pełnej nazwy oferowanych urządzeń (tj. obejmującej model i typ, nazwę handlową, jeśli takie atrybuty są stosowane do oferowanego przedmiotu), a także dodatkowych informacji dotyczących oferowanego przedmiotu zamówienia zgodnie z instrukcjami zawartymi w opisie przedmiotu zamówienia.</w:t>
      </w:r>
    </w:p>
    <w:p w14:paraId="39C6C5A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Przedmiot zamówienia należy zrealizować zgodnie z SWZ i wytycznymi Zamawiającego zawartymi w opisie przedmiotu zamówienia oraz projektowanych postanowieniach umowy.</w:t>
      </w:r>
    </w:p>
    <w:p w14:paraId="199A2E8E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color w:val="000000" w:themeColor="text1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Dla wyspecyfikowanych urządzeń podane parametry są wartościami minimalnymi, każdy przedmiot zamówienia o parametrach lepszych, wyższych od wyspecyfikowanych spełnia wymagania określone przez Zamawiającego, chyba że opis stanowi inaczej. Wszystkie urządzenia powinny spełniać wszelkie przepisy dotyczące prawa dopuszczenia do użytkowania w Polsce. Do każdego urządzenia muszą być dołączone: instrukcja obsługi w języku polskim lub angielskim, dokumenty gwarancyjne producenta, </w:t>
      </w:r>
      <w:r w:rsidRPr="00136031">
        <w:rPr>
          <w:rFonts w:ascii="Tahoma" w:eastAsia="Calibri" w:hAnsi="Tahoma" w:cs="Tahoma"/>
          <w:color w:val="000000" w:themeColor="text1"/>
          <w:sz w:val="18"/>
          <w:szCs w:val="18"/>
        </w:rPr>
        <w:t>oświadczenie o zgodności z wszystkimi niezbędnymi normami (np. CE) oraz płyty lub inne nośniki z oprogramowaniem, sterownikami dodawanymi do sprzętu i dostępem do aktualizacji oprogramowania, inne dokumenty, jeżeli są niezbędne do użytkowania urządzenia zgodnie z przeznaczeniem.</w:t>
      </w:r>
    </w:p>
    <w:p w14:paraId="4AF8B39C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Zgodnie z art. 101 ust. 4 ustawy </w:t>
      </w:r>
      <w:proofErr w:type="spellStart"/>
      <w:r w:rsidRPr="00136031">
        <w:rPr>
          <w:rFonts w:ascii="Tahoma" w:eastAsia="Calibri" w:hAnsi="Tahoma" w:cs="Tahoma"/>
          <w:sz w:val="18"/>
          <w:szCs w:val="18"/>
        </w:rPr>
        <w:t>Pzp</w:t>
      </w:r>
      <w:proofErr w:type="spellEnd"/>
      <w:r w:rsidRPr="00136031">
        <w:rPr>
          <w:rFonts w:ascii="Tahoma" w:eastAsia="Calibri" w:hAnsi="Tahoma" w:cs="Tahoma"/>
          <w:sz w:val="18"/>
          <w:szCs w:val="18"/>
        </w:rPr>
        <w:t xml:space="preserve">, Zamawiający dopuszcza rozwiązania równoważne opisywanym. Jeżeli użyto do opisania przedmiotu zamówienia oznaczeń lub parametrów wskazujących konkretnego producenta, konkretny produkt lub wskazano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t xml:space="preserve">znaki towarowe, patent lub pochodzenie przedmiotu zamówienia, Zamawiający dopuszcza rozwiązania równoważne, z zachowaniem przez Wykonawcę zasad i wymogów opisanych w SWZ.  Użyte w SWZ określenia wskazujące znaki towarowe, patent lub pochodzenie przedmiotu zamówienia należy odczytywać z wyrazami: lub równoważne. W celu oceny równoważności, zamawiający </w:t>
      </w:r>
      <w:r w:rsidRPr="00136031">
        <w:rPr>
          <w:rFonts w:ascii="Tahoma" w:eastAsia="Calibri" w:hAnsi="Tahoma" w:cs="Tahoma"/>
          <w:sz w:val="18"/>
          <w:szCs w:val="18"/>
          <w:lang w:eastAsia="pl-PL"/>
        </w:rPr>
        <w:lastRenderedPageBreak/>
        <w:t>oceni, czy oferowane przez wykonawcę produkty lub usługi spełniają co najmniej wartości minimalne/wymagania minimalne, które zawarto w opisie przedmiotu zamówienia.</w:t>
      </w:r>
    </w:p>
    <w:p w14:paraId="420F4016" w14:textId="77777777" w:rsidR="00C51FE2" w:rsidRPr="00136031" w:rsidRDefault="00C51FE2" w:rsidP="00C51F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Wraz z każdym egzemplarzem przedmiotu zamówienia Wykonawca przekaże pełną dokumentację standardowo dostarczaną przez producentów w tym:</w:t>
      </w:r>
    </w:p>
    <w:p w14:paraId="5E1A72B8" w14:textId="77777777" w:rsidR="00C51FE2" w:rsidRPr="00136031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karty gwarancyjne wystawione przez producenta w języku polskim lub angielskim,</w:t>
      </w:r>
    </w:p>
    <w:p w14:paraId="37AFD7CF" w14:textId="77777777" w:rsidR="00C51FE2" w:rsidRPr="00136031" w:rsidRDefault="00C51FE2" w:rsidP="00C51F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instrukcje obsługi w języku polskim lub angielskim,</w:t>
      </w:r>
    </w:p>
    <w:p w14:paraId="07A117ED" w14:textId="77777777" w:rsidR="00375190" w:rsidRDefault="00C51FE2" w:rsidP="00C321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75190">
        <w:rPr>
          <w:rFonts w:ascii="Tahoma" w:eastAsia="Calibri" w:hAnsi="Tahoma" w:cs="Tahoma"/>
          <w:sz w:val="18"/>
          <w:szCs w:val="18"/>
          <w:lang w:eastAsia="pl-PL"/>
        </w:rPr>
        <w:t xml:space="preserve">Gwarancja minimum 24 miesiące. </w:t>
      </w:r>
    </w:p>
    <w:p w14:paraId="240AD810" w14:textId="34575BB3" w:rsidR="00C32183" w:rsidRPr="00756702" w:rsidRDefault="00756702" w:rsidP="00756702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color w:val="C00000"/>
          <w:sz w:val="18"/>
          <w:szCs w:val="18"/>
        </w:rPr>
      </w:pPr>
      <w:r w:rsidRPr="00DC3E72">
        <w:rPr>
          <w:rFonts w:ascii="Tahoma" w:hAnsi="Tahoma" w:cs="Tahoma"/>
          <w:color w:val="C00000"/>
          <w:sz w:val="18"/>
          <w:szCs w:val="18"/>
        </w:rPr>
        <w:t xml:space="preserve">Jeżeli instrukcje obsługi w języku polskim lub angielskim, dokumenty gwarancyjne producenta (np. karta gwarancyjna), oświadczenie o zgodności z wszystkimi niezbędnymi normami (np. CE) oraz nośniki z oprogramowaniem, sterownikami dodawanymi do sprzętu i dostępem do aktualizacji oprogramowania oraz inne dokumenty, które są udostępniane w wersji elektronicznej  na stronie internetowej producenta na podstawie indywidualnego numeru seryjnego produktu, Zamawiający nie wymaga dostarczania ww. elementów opisanych w pkt. 1, 4, 6 </w:t>
      </w:r>
      <w:r>
        <w:rPr>
          <w:rFonts w:ascii="Tahoma" w:hAnsi="Tahoma" w:cs="Tahoma"/>
          <w:color w:val="C00000"/>
          <w:sz w:val="18"/>
          <w:szCs w:val="18"/>
        </w:rPr>
        <w:t>wraz z przedmiotem zamówienia</w:t>
      </w:r>
      <w:r w:rsidR="00375190" w:rsidRPr="00756702">
        <w:rPr>
          <w:rFonts w:ascii="Tahoma" w:hAnsi="Tahoma" w:cs="Tahoma"/>
          <w:color w:val="C00000"/>
          <w:sz w:val="18"/>
          <w:szCs w:val="18"/>
        </w:rPr>
        <w:t>.</w:t>
      </w:r>
    </w:p>
    <w:p w14:paraId="1BD5DB8C" w14:textId="77777777" w:rsidR="00C51FE2" w:rsidRPr="00136031" w:rsidRDefault="00C51FE2" w:rsidP="00C51FE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543CCF" w14:textId="77777777" w:rsidR="009159B9" w:rsidRPr="00136031" w:rsidRDefault="009159B9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 xml:space="preserve">Wymagane wartości (opis minimalnych parametrów technicznych i funkcjonalnych) </w:t>
      </w:r>
    </w:p>
    <w:p w14:paraId="18ADBED2" w14:textId="77777777" w:rsidR="009159B9" w:rsidRPr="00136031" w:rsidRDefault="009159B9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104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1702"/>
        <w:gridCol w:w="2409"/>
        <w:gridCol w:w="5811"/>
      </w:tblGrid>
      <w:tr w:rsidR="0018363E" w:rsidRPr="00B354B4" w14:paraId="09669694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A0F12" w14:textId="02442AAE" w:rsidR="0018363E" w:rsidRPr="00B354B4" w:rsidRDefault="0018363E" w:rsidP="002262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F86A" w14:textId="2B7E2A39" w:rsidR="0018363E" w:rsidRPr="00B354B4" w:rsidRDefault="0018363E" w:rsidP="002262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A9F0" w14:textId="3EB04B7D" w:rsidR="0018363E" w:rsidRPr="00B354B4" w:rsidRDefault="0018363E" w:rsidP="002262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3533" w14:textId="7BFFCB4E" w:rsidR="0018363E" w:rsidRPr="00B354B4" w:rsidRDefault="0018363E" w:rsidP="002262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D</w:t>
            </w:r>
          </w:p>
        </w:tc>
      </w:tr>
      <w:tr w:rsidR="0018363E" w:rsidRPr="00B354B4" w14:paraId="3F35C70D" w14:textId="77777777" w:rsidTr="002262AE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4F82" w14:textId="43935979" w:rsidR="0018363E" w:rsidRPr="00B354B4" w:rsidRDefault="0018363E" w:rsidP="002262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zh-CN"/>
              </w:rPr>
            </w:pPr>
            <w:proofErr w:type="spellStart"/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Lp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FA5B" w14:textId="4DB28CAB" w:rsidR="0018363E" w:rsidRPr="00B354B4" w:rsidRDefault="0018363E" w:rsidP="002262AE">
            <w:pPr>
              <w:jc w:val="center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ATRYBUT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23D84" w14:textId="75236ABC" w:rsidR="0018363E" w:rsidRPr="00B354B4" w:rsidRDefault="0018363E" w:rsidP="002262AE">
            <w:pPr>
              <w:jc w:val="center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D3B" w14:textId="4748F1B8" w:rsidR="0018363E" w:rsidRPr="00B354B4" w:rsidRDefault="0018363E" w:rsidP="002262A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WYMAGANE WARTOŚCI (opis minimalnych parametrów technicznych i funkcjonalnych)</w:t>
            </w:r>
          </w:p>
        </w:tc>
      </w:tr>
      <w:tr w:rsidR="0018363E" w:rsidRPr="00B354B4" w14:paraId="436E125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214DE" w14:textId="194FE8EA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45A3" w14:textId="09A7D670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78E0" w14:textId="7BB71D48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procesorów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EA2F" w14:textId="706867E9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Dwa identyczne procesory 64-bitowe o wysokiej wydajności do zastosowań serwerowych/stacji roboczych. Pamięć podręczna procesora (cache L3) minimum 128 MB. Architektura procesora przystosowana do skalowalności.</w:t>
            </w:r>
          </w:p>
        </w:tc>
      </w:tr>
      <w:tr w:rsidR="0018363E" w:rsidRPr="00B354B4" w14:paraId="647B83F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082B" w14:textId="464FA346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5508" w14:textId="0500CE4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CDAD" w14:textId="0982529F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rdzeni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FA1C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rdzeni fizycznych na każdy procesor: minimum 32 rdzenie na jeden procesor.</w:t>
            </w:r>
          </w:p>
          <w:p w14:paraId="40F6EA73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Wymagana technologia wielowątkowości: minimum po 2 wątki na 1 rdzeń; łącznie 64 wątków na jeden procesor.</w:t>
            </w:r>
          </w:p>
          <w:p w14:paraId="1706416A" w14:textId="5B8D154B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Sumaryczna ilość rdzeni wszystkich procesorów co najmniej 64 i sumaryczna ilość wątków wszystkich procesorów co najmniej 128.</w:t>
            </w:r>
          </w:p>
        </w:tc>
      </w:tr>
      <w:tr w:rsidR="0018363E" w:rsidRPr="00B354B4" w14:paraId="05895CC1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34012" w14:textId="3C66EB52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F776" w14:textId="684B1440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4CB3" w14:textId="055D71E4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Wydajność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38E8" w14:textId="6CE6EEC0" w:rsidR="0018363E" w:rsidRPr="00D46291" w:rsidRDefault="0018363E" w:rsidP="00D46291">
            <w:pPr>
              <w:spacing w:after="0"/>
              <w:rPr>
                <w:rFonts w:ascii="Tahoma" w:hAnsi="Tahoma" w:cs="Tahoma"/>
                <w:sz w:val="20"/>
                <w:szCs w:val="20"/>
                <w:lang w:eastAsia="zh-CN"/>
              </w:rPr>
            </w:pPr>
            <w:bookmarkStart w:id="0" w:name="_Hlk107433812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Sumaryczna wydajności procesorów w teście </w:t>
            </w:r>
            <w:proofErr w:type="spellStart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cpubenchmark</w:t>
            </w:r>
            <w:proofErr w:type="spellEnd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wynik </w:t>
            </w:r>
            <w:proofErr w:type="spellStart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>CPUmark</w:t>
            </w:r>
            <w:proofErr w:type="spellEnd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104170 lub wyższy </w:t>
            </w:r>
            <w:hyperlink r:id="rId11" w:history="1">
              <w:r w:rsidRPr="003D29E3">
                <w:rPr>
                  <w:rStyle w:val="Hipercze"/>
                  <w:rFonts w:ascii="Tahoma" w:hAnsi="Tahoma" w:cs="Tahoma"/>
                  <w:bCs/>
                  <w:sz w:val="18"/>
                  <w:szCs w:val="18"/>
                  <w:lang w:eastAsia="zh-CN"/>
                </w:rPr>
                <w:t>https://www.cpubenchmark.net/CPU_mega_page.html</w:t>
              </w:r>
            </w:hyperlink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na dzień 30.11.2023 r.</w:t>
            </w:r>
            <w:bookmarkEnd w:id="0"/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8363E" w:rsidRPr="00DE2B0D" w14:paraId="517F8584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035A" w14:textId="38B4EA16" w:rsidR="0018363E" w:rsidRPr="00D0727B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D0727B">
              <w:rPr>
                <w:rFonts w:ascii="Tahoma" w:hAnsi="Tahoma" w:cs="Tahom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53FC2" w14:textId="03305E3A" w:rsidR="0018363E" w:rsidRPr="00D0727B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D0727B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A176" w14:textId="761C3A2B" w:rsidR="0018363E" w:rsidRPr="00D0727B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D0727B">
              <w:rPr>
                <w:rFonts w:ascii="Tahoma" w:hAnsi="Tahoma" w:cs="Tahoma"/>
                <w:sz w:val="18"/>
                <w:szCs w:val="18"/>
                <w:lang w:eastAsia="zh-CN"/>
              </w:rPr>
              <w:t>Bezpieczeństwo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0E3D" w14:textId="5D54F0E1" w:rsidR="0018363E" w:rsidRPr="00D0727B" w:rsidRDefault="0018363E" w:rsidP="00DE2B0D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D0727B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 funkcja </w:t>
            </w:r>
            <w:proofErr w:type="spellStart"/>
            <w:r w:rsidRPr="00D0727B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D0727B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</w:t>
            </w:r>
            <w:r w:rsidR="00DE2B0D" w:rsidRPr="00D0727B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latform Module lub równoważna </w:t>
            </w:r>
          </w:p>
        </w:tc>
      </w:tr>
      <w:tr w:rsidR="0018363E" w:rsidRPr="00B354B4" w14:paraId="590FB638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1F98A" w14:textId="66CCCAF8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EDBC8" w14:textId="0ACDC48E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476D" w14:textId="22E3AAE0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Klasa przeznaczenia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C3D0" w14:textId="2A1FB64E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Serwer/stacja robocza.</w:t>
            </w:r>
          </w:p>
        </w:tc>
      </w:tr>
      <w:tr w:rsidR="0018363E" w:rsidRPr="00B354B4" w14:paraId="3B49C7B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E72BC" w14:textId="5D367E19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481D1" w14:textId="53CCF2F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Procesor/y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21DE" w14:textId="74556A0F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Chłodzenie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BD76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Zapewniające optymalne warunki pracy przy pełnym obciążeniu zgodnie ze specyfikacją producenta procesora i płyty głównej.</w:t>
            </w:r>
          </w:p>
          <w:p w14:paraId="13B10DB4" w14:textId="1DD93796" w:rsidR="0018363E" w:rsidRPr="00D46291" w:rsidRDefault="0018363E" w:rsidP="00D46291">
            <w:pPr>
              <w:spacing w:after="0"/>
              <w:rPr>
                <w:rFonts w:ascii="Tahoma" w:hAnsi="Tahoma" w:cs="Tahoma"/>
                <w:sz w:val="20"/>
                <w:szCs w:val="20"/>
                <w:lang w:eastAsia="zh-CN"/>
              </w:rPr>
            </w:pPr>
          </w:p>
        </w:tc>
      </w:tr>
      <w:tr w:rsidR="0018363E" w:rsidRPr="00B354B4" w14:paraId="0DB21EED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03EDB" w14:textId="567B99FD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1CF2" w14:textId="53CBCC9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2B08" w14:textId="1C5EDBD0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7CE" w14:textId="7E238590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192 GB pamięci DDR5 z korekcją błędów o częstotliwości co najmniej 4800 MHz lub większej. Kompatybilna z zainstalowanym procesorem i płytą główną.</w:t>
            </w:r>
          </w:p>
        </w:tc>
      </w:tr>
      <w:tr w:rsidR="0018363E" w:rsidRPr="00B354B4" w14:paraId="50ED95E3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91ACE" w14:textId="15B73666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06DC" w14:textId="340F54BA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Pamięć 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FE56" w14:textId="615697B8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modułów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6414" w14:textId="77777777" w:rsidR="0018363E" w:rsidRPr="003D29E3" w:rsidRDefault="0018363E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Nie więcej niż 8. Obsadzanie modułów pamięci optymalne dla danego procesora (maksymalna wydajność) zgodnie z dokumentacją producentów płyt głównych i procesorów.</w:t>
            </w:r>
          </w:p>
          <w:p w14:paraId="5A270FF8" w14:textId="23870170" w:rsidR="0018363E" w:rsidRPr="00D46291" w:rsidRDefault="0018363E" w:rsidP="00D46291">
            <w:pPr>
              <w:spacing w:after="0"/>
              <w:rPr>
                <w:rFonts w:ascii="Tahoma" w:hAnsi="Tahoma" w:cs="Tahoma"/>
                <w:sz w:val="20"/>
                <w:szCs w:val="20"/>
                <w:lang w:eastAsia="zh-CN"/>
              </w:rPr>
            </w:pPr>
          </w:p>
        </w:tc>
      </w:tr>
      <w:tr w:rsidR="0018363E" w:rsidRPr="00B354B4" w14:paraId="0C884A82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BF94F" w14:textId="4647CCD6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2F5B" w14:textId="0B9C21E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7FDD" w14:textId="6A7FFC25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17E8" w14:textId="4D9D4E30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SSD - dane przechowywane wyłącznie w pamięci półprzewodnikowej.</w:t>
            </w:r>
          </w:p>
        </w:tc>
      </w:tr>
      <w:tr w:rsidR="0018363E" w:rsidRPr="00B354B4" w14:paraId="131D782E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F26F4" w14:textId="2F4ABBC7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54A6" w14:textId="203E0B64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67BA" w14:textId="656E5678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3B7D" w14:textId="4FE56EC4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Nie więcej niż 1. </w:t>
            </w:r>
          </w:p>
        </w:tc>
      </w:tr>
      <w:tr w:rsidR="0018363E" w:rsidRPr="00B354B4" w14:paraId="7D47927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844F0" w14:textId="6EA47A1D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9AF4A" w14:textId="525AD8D8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665A" w14:textId="1400741B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5493" w14:textId="0512D2D7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NVMe</w:t>
            </w:r>
            <w:proofErr w:type="spellEnd"/>
          </w:p>
        </w:tc>
      </w:tr>
      <w:tr w:rsidR="0018363E" w:rsidRPr="00B354B4" w14:paraId="1BE88517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989E" w14:textId="3643CE7D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C77B" w14:textId="00CF95A2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A9C" w14:textId="05C91E5D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3CBE" w14:textId="4E135762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900 GB.</w:t>
            </w:r>
          </w:p>
        </w:tc>
      </w:tr>
      <w:tr w:rsidR="0018363E" w:rsidRPr="00B354B4" w14:paraId="2C160A1B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68C30" w14:textId="0B290ED5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ED33" w14:textId="215D0538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763F" w14:textId="31354135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Rodzaj nośnika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3BFC" w14:textId="779EF424" w:rsidR="0018363E" w:rsidRPr="005D50F2" w:rsidRDefault="0018363E" w:rsidP="00D46291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HDD zapis magnetyczny.</w:t>
            </w:r>
          </w:p>
        </w:tc>
      </w:tr>
      <w:tr w:rsidR="0018363E" w:rsidRPr="00B354B4" w14:paraId="5FB27383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83E6" w14:textId="7DDB3F25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0371" w14:textId="5ED2BCA4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EDAD" w14:textId="54ABD272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Liczba urządzeń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E7B5" w14:textId="6856F04F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2 </w:t>
            </w:r>
          </w:p>
        </w:tc>
      </w:tr>
      <w:tr w:rsidR="0018363E" w:rsidRPr="00B354B4" w14:paraId="33E0F0EE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6246" w14:textId="4E4BFF03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F0AA" w14:textId="3F3563E2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B6C5" w14:textId="50471CE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E12" w14:textId="5F4E7912" w:rsidR="0018363E" w:rsidRPr="00D46291" w:rsidRDefault="0018363E" w:rsidP="00D46291">
            <w:pPr>
              <w:spacing w:after="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SATA II szybkość transmisji co najmniej 6.0 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Gbit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/s.</w:t>
            </w:r>
          </w:p>
        </w:tc>
      </w:tr>
      <w:tr w:rsidR="0018363E" w:rsidRPr="00B354B4" w14:paraId="41C4D5A5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7A5B0" w14:textId="4B586271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38DE" w14:textId="68558C27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Twardy dysk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4DA7" w14:textId="410F5A46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Pojemność zamontowana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D191" w14:textId="7BA4DA98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6 TB każdy. Pamięć podręczna min. 256 MB.</w:t>
            </w:r>
          </w:p>
        </w:tc>
      </w:tr>
      <w:tr w:rsidR="0018363E" w:rsidRPr="00B354B4" w14:paraId="6AA7E930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02B8" w14:textId="368BB008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2D46" w14:textId="4AFC2DCC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CDDD" w14:textId="0DDD5B4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Złącza (każde złącze liczone tylko 1 raz jeśli nie opisano inaczej)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0CCB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a)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PCIe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w standardzie min. 5.0:  co najmniej 2 sztuk </w:t>
            </w:r>
          </w:p>
          <w:p w14:paraId="5E1E7920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b) DIMM: co najmniej 16 szt. W tym przynajmniej 8 nie obsadzone.</w:t>
            </w:r>
          </w:p>
          <w:p w14:paraId="52199CD5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c) SATA: co najmniej 4 szt. </w:t>
            </w:r>
          </w:p>
          <w:p w14:paraId="3BA280CE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d) USB 3.0 lub 2.0: co najmniej 2 szt.</w:t>
            </w:r>
          </w:p>
          <w:p w14:paraId="6434281D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e) M.2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NVMe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: co najmniej 1 szt.</w:t>
            </w:r>
          </w:p>
          <w:p w14:paraId="0E7D85CF" w14:textId="3FF3D31A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f) RJ-45: min. 2 szt. </w:t>
            </w:r>
          </w:p>
        </w:tc>
      </w:tr>
      <w:tr w:rsidR="0018363E" w:rsidRPr="00B354B4" w14:paraId="04A7D73B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C721" w14:textId="112F422C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1E04" w14:textId="6DA1B6D7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8845" w14:textId="6EADEE97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Obsługa pamięci RAM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2FB" w14:textId="1EB71408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1 TB pamięci RAM z obsługą korekcji błędów.</w:t>
            </w:r>
          </w:p>
        </w:tc>
      </w:tr>
      <w:tr w:rsidR="0018363E" w:rsidRPr="00B354B4" w14:paraId="6CBD2EB3" w14:textId="77777777" w:rsidTr="002A0C9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8ACA8" w14:textId="34475255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highlight w:val="yellow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6D2D" w14:textId="20C889F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Płyta główna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1E27" w14:textId="4AC7B6AD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Funkcja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Trusted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Platform Module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B0F6" w14:textId="2E9BA547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Dostępna i włączona. </w:t>
            </w:r>
          </w:p>
        </w:tc>
      </w:tr>
      <w:tr w:rsidR="0018363E" w:rsidRPr="00B354B4" w14:paraId="7A15760B" w14:textId="77777777" w:rsidTr="009D246C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573F4" w14:textId="0C0485BC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12E9" w14:textId="0909428E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 graficzny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421F" w14:textId="2FE71E9F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2D78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bCs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bCs/>
                <w:sz w:val="18"/>
                <w:szCs w:val="18"/>
                <w:lang w:eastAsia="zh-CN"/>
              </w:rPr>
              <w:t xml:space="preserve">Pozwalający wyświetlić obraz w rozdzielczości Full HD 1920x1200@60Hz 32bpp. Interfejs graficzny nie będzie używany do obliczeń numerycznych. </w:t>
            </w:r>
          </w:p>
          <w:p w14:paraId="422D720F" w14:textId="508E8091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</w:p>
        </w:tc>
      </w:tr>
      <w:tr w:rsidR="0018363E" w:rsidRPr="00B354B4" w14:paraId="0C3938D5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E8E3E" w14:textId="667CDA1A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398F1" w14:textId="3CF55057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Interfejs sieciowy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4D24" w14:textId="72A13C91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Wydajność i złącze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F630" w14:textId="77777777" w:rsidR="0018363E" w:rsidRPr="003D29E3" w:rsidRDefault="0018363E" w:rsidP="005B2C47">
            <w:pPr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Co najmniej dwa kanały obsługujące transmisję 1000Base-T na Rj-45.</w:t>
            </w:r>
          </w:p>
          <w:p w14:paraId="658F0DA8" w14:textId="2E9D87A1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</w:p>
        </w:tc>
      </w:tr>
      <w:tr w:rsidR="0018363E" w:rsidRPr="00B354B4" w14:paraId="0C7FFE2C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60671" w14:textId="175531EA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1E655" w14:textId="5CCC83BD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1715" w14:textId="2CAD2E40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Typ i rozmiary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AB18" w14:textId="77777777" w:rsidR="0018363E" w:rsidRPr="003D29E3" w:rsidRDefault="0018363E" w:rsidP="005B2C47">
            <w:pPr>
              <w:spacing w:after="0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Obudowa typu </w:t>
            </w:r>
            <w:proofErr w:type="spellStart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rack</w:t>
            </w:r>
            <w:proofErr w:type="spellEnd"/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 maksymalnie 2U z szynami ruchomymi.</w:t>
            </w:r>
          </w:p>
          <w:p w14:paraId="0EF461FA" w14:textId="0AD416D5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</w:p>
        </w:tc>
      </w:tr>
      <w:tr w:rsidR="0018363E" w:rsidRPr="00B354B4" w14:paraId="6EF758BB" w14:textId="77777777" w:rsidTr="002262AE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69A3B" w14:textId="4B20FB0C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7E69" w14:textId="3A6C529A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Obudowa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45BA" w14:textId="4F9DE6FA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Zasilacz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7C2" w14:textId="7BAC36F4" w:rsidR="0018363E" w:rsidRPr="003D29E3" w:rsidRDefault="0018363E" w:rsidP="005B2C4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Zasilanie redunda</w:t>
            </w:r>
            <w:r w:rsidR="00D0727B">
              <w:rPr>
                <w:rFonts w:ascii="Tahoma" w:hAnsi="Tahoma" w:cs="Tahoma"/>
                <w:sz w:val="18"/>
                <w:szCs w:val="18"/>
                <w:lang w:eastAsia="zh-CN"/>
              </w:rPr>
              <w:t>n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tne o mocy minimum 1600 W.</w:t>
            </w:r>
          </w:p>
          <w:p w14:paraId="27D7BFBE" w14:textId="77777777" w:rsidR="0018363E" w:rsidRPr="003D29E3" w:rsidRDefault="0018363E" w:rsidP="005B2C47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Pracujące przy napięciu 230V.</w:t>
            </w:r>
          </w:p>
          <w:p w14:paraId="2054EAA1" w14:textId="1AE3B604" w:rsidR="0018363E" w:rsidRPr="00D46291" w:rsidRDefault="0018363E" w:rsidP="00D46291">
            <w:pPr>
              <w:spacing w:after="0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Efektywność co najmniej 94% przy obciążeniu zasilacza na poziomie 50% oraz co najmniej 90% przy obciążeniu zasilacza na poziomie 100%.</w:t>
            </w:r>
          </w:p>
        </w:tc>
      </w:tr>
      <w:tr w:rsidR="0018363E" w:rsidRPr="00B354B4" w14:paraId="6C646E3C" w14:textId="77777777" w:rsidTr="00597472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3DE4B" w14:textId="6D52542C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3AD7F" w14:textId="21C961DD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E191" w14:textId="5DCDDB23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Czas trwania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80B" w14:textId="3D5CA562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 xml:space="preserve">Co najmniej </w:t>
            </w:r>
            <w:r w:rsidRPr="003D29E3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24 miesiące</w:t>
            </w: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.</w:t>
            </w:r>
          </w:p>
        </w:tc>
      </w:tr>
      <w:tr w:rsidR="0018363E" w:rsidRPr="00B354B4" w14:paraId="66F8FB39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EE01" w14:textId="363FF28A" w:rsidR="0018363E" w:rsidRPr="00B354B4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8019" w14:textId="48EAD5ED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Gwarancja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E97E" w14:textId="356F00A2" w:rsidR="0018363E" w:rsidRPr="00D46291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Warunki świadczenia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7DE" w14:textId="7E782748" w:rsidR="0018363E" w:rsidRPr="00D46291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3D29E3">
              <w:rPr>
                <w:rFonts w:ascii="Tahoma" w:hAnsi="Tahoma" w:cs="Tahoma"/>
                <w:sz w:val="18"/>
                <w:szCs w:val="18"/>
                <w:lang w:eastAsia="zh-CN"/>
              </w:rPr>
              <w:t>Zgodnie z Wymaganiami gwarancyjnymi i serwisowymi.</w:t>
            </w:r>
          </w:p>
        </w:tc>
      </w:tr>
      <w:tr w:rsidR="0018363E" w:rsidRPr="00B354B4" w14:paraId="38DDCBC0" w14:textId="77777777" w:rsidTr="00CB6299">
        <w:trPr>
          <w:trHeight w:val="3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7939F" w14:textId="138C4B3A" w:rsidR="0018363E" w:rsidRPr="00E82C4A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E82C4A">
              <w:rPr>
                <w:rFonts w:ascii="Tahoma" w:hAnsi="Tahoma" w:cs="Tahoma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1DE4" w14:textId="03783EAD" w:rsidR="0018363E" w:rsidRPr="00E82C4A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E82C4A">
              <w:rPr>
                <w:rFonts w:ascii="Tahoma" w:hAnsi="Tahoma" w:cs="Tahoma"/>
                <w:sz w:val="18"/>
                <w:szCs w:val="18"/>
                <w:lang w:eastAsia="zh-CN"/>
              </w:rPr>
              <w:t>Wielkość dostawy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9995" w14:textId="3EF19670" w:rsidR="0018363E" w:rsidRPr="00E82C4A" w:rsidRDefault="0018363E" w:rsidP="00D46291">
            <w:pPr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E82C4A">
              <w:rPr>
                <w:rFonts w:ascii="Tahoma" w:hAnsi="Tahoma" w:cs="Tahoma"/>
                <w:sz w:val="18"/>
                <w:szCs w:val="18"/>
              </w:rPr>
              <w:t>Liczba sztuk komputera stacjonarnego typu „se</w:t>
            </w:r>
            <w:r w:rsidR="00375190">
              <w:rPr>
                <w:rFonts w:ascii="Tahoma" w:hAnsi="Tahoma" w:cs="Tahoma"/>
                <w:sz w:val="18"/>
                <w:szCs w:val="18"/>
              </w:rPr>
              <w:t>r</w:t>
            </w:r>
            <w:r w:rsidRPr="00E82C4A">
              <w:rPr>
                <w:rFonts w:ascii="Tahoma" w:hAnsi="Tahoma" w:cs="Tahoma"/>
                <w:sz w:val="18"/>
                <w:szCs w:val="18"/>
              </w:rPr>
              <w:t xml:space="preserve">wer obliczeniowy”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63B" w14:textId="7FA4A9F2" w:rsidR="0018363E" w:rsidRPr="00E82C4A" w:rsidRDefault="0018363E" w:rsidP="00D46291">
            <w:pPr>
              <w:jc w:val="both"/>
              <w:rPr>
                <w:rFonts w:ascii="Tahoma" w:hAnsi="Tahoma" w:cs="Tahoma"/>
                <w:sz w:val="20"/>
                <w:szCs w:val="20"/>
                <w:lang w:eastAsia="zh-CN"/>
              </w:rPr>
            </w:pPr>
            <w:r w:rsidRPr="00E82C4A">
              <w:rPr>
                <w:rFonts w:ascii="Tahoma" w:hAnsi="Tahoma" w:cs="Tahoma"/>
                <w:b/>
                <w:sz w:val="18"/>
                <w:szCs w:val="18"/>
                <w:lang w:eastAsia="zh-CN"/>
              </w:rPr>
              <w:t>1 sztuka</w:t>
            </w:r>
          </w:p>
        </w:tc>
      </w:tr>
    </w:tbl>
    <w:p w14:paraId="0B2541E4" w14:textId="2F5D7EE7" w:rsidR="0065303A" w:rsidRDefault="0065303A" w:rsidP="009159B9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411A67FC" w14:textId="77777777" w:rsidR="00C51FE2" w:rsidRPr="00136031" w:rsidRDefault="00C51FE2" w:rsidP="00D82F1A">
      <w:pPr>
        <w:pStyle w:val="Akapitzlist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Wymagania gwarancyjne i serwisowe</w:t>
      </w:r>
    </w:p>
    <w:p w14:paraId="2D13FA60" w14:textId="77777777" w:rsidR="00D82F1A" w:rsidRPr="00136031" w:rsidRDefault="00D82F1A" w:rsidP="00D82F1A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18"/>
          <w:szCs w:val="18"/>
        </w:rPr>
      </w:pPr>
    </w:p>
    <w:p w14:paraId="727907D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Okres gwarancji na p</w:t>
      </w:r>
      <w:r w:rsidR="00E82A18" w:rsidRPr="00136031">
        <w:rPr>
          <w:rFonts w:ascii="Tahoma" w:eastAsia="Calibri" w:hAnsi="Tahoma" w:cs="Tahoma"/>
          <w:sz w:val="18"/>
          <w:szCs w:val="18"/>
        </w:rPr>
        <w:t>rzedmiot zamówienia wynosi co najmniej 24 miesiące</w:t>
      </w:r>
      <w:r w:rsidRPr="00136031">
        <w:rPr>
          <w:rFonts w:ascii="Tahoma" w:eastAsia="Calibri" w:hAnsi="Tahoma" w:cs="Tahoma"/>
          <w:sz w:val="18"/>
          <w:szCs w:val="18"/>
        </w:rPr>
        <w:t xml:space="preserve"> (zgodnie z ofertą Wykonawcy odpowiednio dla danej części zamówienia), przy czym bieg okresu gwarancji rozpocznie się z chwilą podpisania protokołu odbioru Przedmiotu umowy. </w:t>
      </w:r>
    </w:p>
    <w:p w14:paraId="282DE00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kierowane będą do Wykonawcy przez przedstawiciela Zamawiającego.</w:t>
      </w:r>
    </w:p>
    <w:p w14:paraId="02F927C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Zgłoszenia o awariach będą przyjmowane e -mail w dni robocze. Zgłoszenia otrzymane po godzinie 15.15 będą traktowane jako zgłoszenia otrzymane o 7.30 rano następnego dnia roboczego.</w:t>
      </w:r>
    </w:p>
    <w:p w14:paraId="2B776A43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Wykonawca na własny koszt odbierze uszkodzony przedmiot zamówienia od użytkownika do naprawy w terminie nieprzekraczającym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3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dni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kalendarzowych 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od daty zgłoszenia (czas reakcji). Po naprawie,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ramach 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U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mowy, na własny koszt i ryzyko dostarczy przedmiot zamówienia wolny od wad do uprzedniego miejsca jego odbioru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.</w:t>
      </w:r>
    </w:p>
    <w:p w14:paraId="1F3460F0" w14:textId="5094459A" w:rsidR="00C51FE2" w:rsidRPr="00136031" w:rsidRDefault="00375190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Wykonanie napraw i usunięcie awarii (zakończenie naprawy)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lub wymiana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przedmiotu zamówienia musi nastąpić w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terminie do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 xml:space="preserve">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liczonym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val="x-none" w:eastAsia="x-none"/>
        </w:rPr>
        <w:t>od momentu zgłoszenia awarii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 xml:space="preserve"> drogą elektroniczną </w:t>
      </w:r>
      <w:r w:rsidRPr="007C6883">
        <w:rPr>
          <w:rFonts w:ascii="Tahoma" w:eastAsia="Calibri" w:hAnsi="Tahoma" w:cs="Tahoma"/>
          <w:color w:val="C00000"/>
          <w:sz w:val="18"/>
          <w:szCs w:val="18"/>
          <w:lang w:eastAsia="x-none"/>
        </w:rPr>
        <w:t>do</w:t>
      </w:r>
      <w:r>
        <w:rPr>
          <w:rFonts w:ascii="Tahoma" w:eastAsia="Calibri" w:hAnsi="Tahoma" w:cs="Tahoma"/>
          <w:sz w:val="18"/>
          <w:szCs w:val="18"/>
          <w:lang w:eastAsia="x-none"/>
        </w:rPr>
        <w:t xml:space="preserve"> </w:t>
      </w:r>
      <w:r w:rsidRPr="008A0AEA">
        <w:rPr>
          <w:rFonts w:ascii="Tahoma" w:eastAsia="Calibri" w:hAnsi="Tahoma" w:cs="Tahoma"/>
          <w:sz w:val="18"/>
          <w:szCs w:val="18"/>
          <w:lang w:eastAsia="x-none"/>
        </w:rPr>
        <w:t>serwisu Wykonawcy do momentu zwrotu przedmiotu zamówienia po naprawie do siedziby użytkownika.</w:t>
      </w:r>
    </w:p>
    <w:p w14:paraId="3777A470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Wykonawca dostarczy do użytkownika przedmiot zamówienia wolny od wad, równoważny funkcjonalnie, o parametrach technicznych nie gorszych od przedmiotu zamówienia podlegającego wymianie.</w:t>
      </w:r>
    </w:p>
    <w:p w14:paraId="03EC40F2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  <w:lang w:val="x-none" w:eastAsia="x-none"/>
        </w:rPr>
      </w:pP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lastRenderedPageBreak/>
        <w:t>Trzykrotne bezskuteczne naprawy przedmiotu zamówienia zaistniałe w okresie gwarancji, obligują Wykonawcę do wymiany tego przedmiotu zamówienia na nowy, wolny od wad, równoważny funkcjonalnie, w terminie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do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14 dni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 xml:space="preserve"> kalendarzowych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 xml:space="preserve"> od daty ostatniego zgłoszenia. Okres gwarancji określony w</w:t>
      </w:r>
      <w:r w:rsidRPr="00136031">
        <w:rPr>
          <w:rFonts w:ascii="Tahoma" w:eastAsia="Calibri" w:hAnsi="Tahoma" w:cs="Tahoma"/>
          <w:sz w:val="18"/>
          <w:szCs w:val="18"/>
          <w:lang w:eastAsia="x-none"/>
        </w:rPr>
        <w:t> </w:t>
      </w:r>
      <w:r w:rsidRPr="00136031">
        <w:rPr>
          <w:rFonts w:ascii="Tahoma" w:eastAsia="Calibri" w:hAnsi="Tahoma" w:cs="Tahoma"/>
          <w:sz w:val="18"/>
          <w:szCs w:val="18"/>
          <w:lang w:val="x-none" w:eastAsia="x-none"/>
        </w:rPr>
        <w:t>pkt 1 dla wymienionego przedmiotu zamówienia rozpocznie się z chwilą jego dostarczenia.</w:t>
      </w:r>
    </w:p>
    <w:p w14:paraId="198438BE" w14:textId="5CBA6D49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Fakt awarii, naprawy i ewentualnie wymiany przedmiotu zamówienia na nowy będzie każdorazowo odnotowany w karcie gwarancyjnej danego przedmiotu zamówienia.</w:t>
      </w:r>
      <w:r w:rsidR="00375190" w:rsidRPr="00375190">
        <w:rPr>
          <w:rFonts w:ascii="Tahoma" w:eastAsia="Calibri" w:hAnsi="Tahoma" w:cs="Tahoma"/>
          <w:color w:val="C00000"/>
          <w:sz w:val="18"/>
          <w:szCs w:val="18"/>
        </w:rPr>
        <w:t xml:space="preserve"> </w:t>
      </w:r>
      <w:r w:rsidR="00375190" w:rsidRPr="00F55035">
        <w:rPr>
          <w:rFonts w:ascii="Tahoma" w:eastAsia="Calibri" w:hAnsi="Tahoma" w:cs="Tahoma"/>
          <w:color w:val="C00000"/>
          <w:sz w:val="18"/>
          <w:szCs w:val="18"/>
        </w:rPr>
        <w:t>W przypadku gdy producent udostępnia elektronicznie historię zgłoszeń/napraw serwisowych na stronie internetowej producenta, po podaniu indywidualnego numeru seryjnego produktu, Zamawiający dopuszcza prowadzenie historii zgłoszeń/napraw serwisowych w wersji elektronicznej.</w:t>
      </w:r>
    </w:p>
    <w:p w14:paraId="008186AD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Stosowanie praw wynikających z udzielonej gwarancji nie wyłącza stosowania uprawnień Zamawiającego wynikających z rękojmi za wady.</w:t>
      </w:r>
    </w:p>
    <w:p w14:paraId="0418506D" w14:textId="33A279CB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Do każdego przedmiotu zamówienia dostarczona będzie instrukcja obsługi w języku polskim lub angielskim.</w:t>
      </w:r>
      <w:r w:rsidR="00375190" w:rsidRPr="00375190">
        <w:rPr>
          <w:rFonts w:ascii="Tahoma" w:hAnsi="Tahoma" w:cs="Tahoma"/>
          <w:color w:val="C00000"/>
          <w:sz w:val="18"/>
          <w:szCs w:val="18"/>
        </w:rPr>
        <w:t xml:space="preserve"> </w:t>
      </w:r>
      <w:r w:rsidR="00756702" w:rsidRPr="00022205">
        <w:rPr>
          <w:rFonts w:ascii="Tahoma" w:hAnsi="Tahoma" w:cs="Tahoma"/>
          <w:color w:val="C00000"/>
          <w:sz w:val="18"/>
          <w:szCs w:val="18"/>
        </w:rPr>
        <w:t>Jeżeli instrukcja obsługi w języku polskim lub angielskim jest udostępniana w wersji elektronicznej  na stronie internetowej producenta na podstawie indywidualnego numeru seryjnego produktu, Zamawiający nie wymaga jej dostarczenia  wraz z przedmiotem zamówienia</w:t>
      </w:r>
      <w:r w:rsidR="00756702">
        <w:rPr>
          <w:rFonts w:ascii="Tahoma" w:hAnsi="Tahoma" w:cs="Tahoma"/>
          <w:color w:val="C00000"/>
          <w:sz w:val="18"/>
          <w:szCs w:val="18"/>
        </w:rPr>
        <w:t>.</w:t>
      </w:r>
      <w:bookmarkStart w:id="1" w:name="_GoBack"/>
      <w:bookmarkEnd w:id="1"/>
    </w:p>
    <w:p w14:paraId="33D21435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Naprawy podzespołów stanowiących nośniki danych odbywać się będą wyłącznie na terenie miejsca używania przedmiotu zamówienia (Zamawiającego) i pod jego kontrolą. W przypadku, gdy naprawa nośników danych będzie niemożliwa, Wykonawca zobowiązuje się wymienić wadliwy Przedmiot umowy na nowy.</w:t>
      </w:r>
    </w:p>
    <w:p w14:paraId="1D5DF37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 przypadku braku możliwości przeprowadzenia naprawy przedmiotu zamówienia z przyczyn technicznych w lokalizacji Zamawiającego Zamawiający może wyrazić zgodę na naprawę w punkcie serwisowym Wykonawcy, po wcześniejszym wymontowaniu i pozostawieniu u Zamawiającego pamięci urządzenia lub dysków twardych.</w:t>
      </w:r>
    </w:p>
    <w:p w14:paraId="38526F0B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Uszkodzone nośniki danych (wraz z elektroniką) stanowią własność Zamawiającego i nie podlegają zwrotowi Wykonawcy w ramach wymiany.</w:t>
      </w:r>
    </w:p>
    <w:p w14:paraId="4D7AC16A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Wykonawca zobowiązuje się, że jeśli naprawa przedmiotu zamówienia potrwa dłużej niż 1 dzień, okres gwarancji przedłuża się o czas konieczny na dokonanie naprawy.</w:t>
      </w:r>
    </w:p>
    <w:p w14:paraId="2DA45941" w14:textId="77777777" w:rsidR="00C51FE2" w:rsidRPr="00136031" w:rsidRDefault="00C51FE2" w:rsidP="00C51FE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36031">
        <w:rPr>
          <w:rFonts w:ascii="Tahoma" w:eastAsia="Calibri" w:hAnsi="Tahoma" w:cs="Tahoma"/>
          <w:sz w:val="18"/>
          <w:szCs w:val="18"/>
        </w:rPr>
        <w:t>Zamawiający ma prawo samodzielnej zmiany konfiguracji bez utraty gwarancji (samodzielne otwarcie obudowy i wymiana podzespołów).</w:t>
      </w:r>
    </w:p>
    <w:p w14:paraId="1500E7A9" w14:textId="77777777" w:rsidR="00C51FE2" w:rsidRPr="00C51FE2" w:rsidRDefault="00C51FE2" w:rsidP="00C51FE2">
      <w:pPr>
        <w:tabs>
          <w:tab w:val="left" w:pos="3120"/>
        </w:tabs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EC3F816" w14:textId="77777777" w:rsidR="00761AC9" w:rsidRPr="00761AC9" w:rsidRDefault="00761AC9" w:rsidP="00761AC9">
      <w:pPr>
        <w:jc w:val="both"/>
        <w:rPr>
          <w:rFonts w:ascii="Tahoma" w:hAnsi="Tahoma" w:cs="Tahoma"/>
          <w:b/>
          <w:sz w:val="18"/>
          <w:szCs w:val="18"/>
        </w:rPr>
      </w:pPr>
      <w:r w:rsidRPr="00761AC9">
        <w:rPr>
          <w:rFonts w:ascii="Tahoma" w:hAnsi="Tahoma" w:cs="Tahoma"/>
          <w:b/>
          <w:sz w:val="18"/>
          <w:szCs w:val="18"/>
        </w:rPr>
        <w:t xml:space="preserve">Zamawiający udostępnia wydruki z powołanych w OPZ stron internetowych z wynikami testów </w:t>
      </w:r>
      <w:r w:rsidRPr="00761AC9">
        <w:rPr>
          <w:rFonts w:ascii="Tahoma" w:hAnsi="Tahoma" w:cs="Tahoma"/>
          <w:b/>
          <w:sz w:val="18"/>
          <w:szCs w:val="18"/>
        </w:rPr>
        <w:br/>
        <w:t xml:space="preserve">(w załączniku do SWZ). </w:t>
      </w:r>
    </w:p>
    <w:p w14:paraId="1F115EF4" w14:textId="77777777" w:rsidR="00761AC9" w:rsidRPr="00761AC9" w:rsidRDefault="00761AC9" w:rsidP="00761AC9">
      <w:pPr>
        <w:jc w:val="both"/>
        <w:rPr>
          <w:rFonts w:ascii="Tahoma" w:hAnsi="Tahoma" w:cs="Tahoma"/>
          <w:b/>
          <w:sz w:val="18"/>
          <w:szCs w:val="18"/>
        </w:rPr>
      </w:pPr>
    </w:p>
    <w:p w14:paraId="78746CE3" w14:textId="77777777" w:rsidR="00761AC9" w:rsidRPr="00C60170" w:rsidRDefault="00761AC9" w:rsidP="00761AC9">
      <w:pPr>
        <w:rPr>
          <w:rFonts w:cstheme="majorHAnsi"/>
          <w:sz w:val="20"/>
        </w:rPr>
      </w:pPr>
    </w:p>
    <w:p w14:paraId="25822DCA" w14:textId="77777777" w:rsidR="00854AB0" w:rsidRPr="00C51FE2" w:rsidRDefault="00854AB0" w:rsidP="003C325F">
      <w:pPr>
        <w:rPr>
          <w:rFonts w:ascii="Tahoma" w:hAnsi="Tahoma" w:cs="Tahoma"/>
          <w:b/>
          <w:sz w:val="18"/>
          <w:szCs w:val="18"/>
        </w:rPr>
      </w:pPr>
    </w:p>
    <w:sectPr w:rsidR="00854AB0" w:rsidRPr="00C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DE"/>
    <w:multiLevelType w:val="hybridMultilevel"/>
    <w:tmpl w:val="DDA0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6393"/>
    <w:multiLevelType w:val="hybridMultilevel"/>
    <w:tmpl w:val="A4C0D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C7E9C"/>
    <w:multiLevelType w:val="hybridMultilevel"/>
    <w:tmpl w:val="88D8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D7CCA"/>
    <w:multiLevelType w:val="hybridMultilevel"/>
    <w:tmpl w:val="D77ADF62"/>
    <w:lvl w:ilvl="0" w:tplc="29B6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35850"/>
    <w:multiLevelType w:val="hybridMultilevel"/>
    <w:tmpl w:val="7C2071F4"/>
    <w:lvl w:ilvl="0" w:tplc="C702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62F7"/>
    <w:multiLevelType w:val="hybridMultilevel"/>
    <w:tmpl w:val="617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2D"/>
    <w:rsid w:val="00037286"/>
    <w:rsid w:val="0003799B"/>
    <w:rsid w:val="00043514"/>
    <w:rsid w:val="00051E99"/>
    <w:rsid w:val="00055440"/>
    <w:rsid w:val="00064938"/>
    <w:rsid w:val="00096C95"/>
    <w:rsid w:val="000B5B72"/>
    <w:rsid w:val="000F651E"/>
    <w:rsid w:val="00107C46"/>
    <w:rsid w:val="001137C7"/>
    <w:rsid w:val="00136031"/>
    <w:rsid w:val="0018363E"/>
    <w:rsid w:val="00210C2D"/>
    <w:rsid w:val="002262AE"/>
    <w:rsid w:val="002506B3"/>
    <w:rsid w:val="002C7798"/>
    <w:rsid w:val="00326FD2"/>
    <w:rsid w:val="00327FD0"/>
    <w:rsid w:val="00375190"/>
    <w:rsid w:val="0038555F"/>
    <w:rsid w:val="00395390"/>
    <w:rsid w:val="003C325F"/>
    <w:rsid w:val="003C74F7"/>
    <w:rsid w:val="003D7398"/>
    <w:rsid w:val="00431D06"/>
    <w:rsid w:val="00437870"/>
    <w:rsid w:val="00444999"/>
    <w:rsid w:val="0045194B"/>
    <w:rsid w:val="00460D4E"/>
    <w:rsid w:val="00465246"/>
    <w:rsid w:val="004A0A9C"/>
    <w:rsid w:val="004D78B7"/>
    <w:rsid w:val="004F6B6C"/>
    <w:rsid w:val="00501F50"/>
    <w:rsid w:val="005227D6"/>
    <w:rsid w:val="00522F08"/>
    <w:rsid w:val="00554D6A"/>
    <w:rsid w:val="005A447A"/>
    <w:rsid w:val="005D50F2"/>
    <w:rsid w:val="005E2405"/>
    <w:rsid w:val="00605E74"/>
    <w:rsid w:val="00607A1B"/>
    <w:rsid w:val="0064086E"/>
    <w:rsid w:val="0065303A"/>
    <w:rsid w:val="006D6273"/>
    <w:rsid w:val="006F1889"/>
    <w:rsid w:val="007523A0"/>
    <w:rsid w:val="00756702"/>
    <w:rsid w:val="00761AC9"/>
    <w:rsid w:val="007853B3"/>
    <w:rsid w:val="007B0BE8"/>
    <w:rsid w:val="007B2308"/>
    <w:rsid w:val="007C524F"/>
    <w:rsid w:val="007D7C96"/>
    <w:rsid w:val="00821DA7"/>
    <w:rsid w:val="00841ED1"/>
    <w:rsid w:val="00854AB0"/>
    <w:rsid w:val="00863AB4"/>
    <w:rsid w:val="008713F5"/>
    <w:rsid w:val="00873F1A"/>
    <w:rsid w:val="00891A8A"/>
    <w:rsid w:val="008B00DA"/>
    <w:rsid w:val="008E72E3"/>
    <w:rsid w:val="008F419D"/>
    <w:rsid w:val="009159B9"/>
    <w:rsid w:val="009237A6"/>
    <w:rsid w:val="00966D0B"/>
    <w:rsid w:val="00967433"/>
    <w:rsid w:val="00973047"/>
    <w:rsid w:val="00982F18"/>
    <w:rsid w:val="009860EA"/>
    <w:rsid w:val="00A30E65"/>
    <w:rsid w:val="00A4637D"/>
    <w:rsid w:val="00A537B6"/>
    <w:rsid w:val="00A53D82"/>
    <w:rsid w:val="00A73F87"/>
    <w:rsid w:val="00A96C79"/>
    <w:rsid w:val="00AB5359"/>
    <w:rsid w:val="00AE3E21"/>
    <w:rsid w:val="00B21550"/>
    <w:rsid w:val="00B24114"/>
    <w:rsid w:val="00B27B5D"/>
    <w:rsid w:val="00B354B4"/>
    <w:rsid w:val="00B9255E"/>
    <w:rsid w:val="00BC097A"/>
    <w:rsid w:val="00C02FB0"/>
    <w:rsid w:val="00C136C6"/>
    <w:rsid w:val="00C32183"/>
    <w:rsid w:val="00C353F0"/>
    <w:rsid w:val="00C51FE2"/>
    <w:rsid w:val="00D06ECB"/>
    <w:rsid w:val="00D0727B"/>
    <w:rsid w:val="00D21EBC"/>
    <w:rsid w:val="00D2424B"/>
    <w:rsid w:val="00D46291"/>
    <w:rsid w:val="00D82F1A"/>
    <w:rsid w:val="00DA19D3"/>
    <w:rsid w:val="00DA4BBB"/>
    <w:rsid w:val="00DC4454"/>
    <w:rsid w:val="00DC5ABE"/>
    <w:rsid w:val="00DE2B0D"/>
    <w:rsid w:val="00DF75C6"/>
    <w:rsid w:val="00E33280"/>
    <w:rsid w:val="00E82A18"/>
    <w:rsid w:val="00E82C4A"/>
    <w:rsid w:val="00F00D8D"/>
    <w:rsid w:val="00F174E7"/>
    <w:rsid w:val="00F303C3"/>
    <w:rsid w:val="00F42F1B"/>
    <w:rsid w:val="00F60983"/>
    <w:rsid w:val="00F616D9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D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D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D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E2"/>
    <w:pPr>
      <w:ind w:left="720"/>
      <w:contextualSpacing/>
    </w:pPr>
  </w:style>
  <w:style w:type="table" w:styleId="Tabela-Siatka">
    <w:name w:val="Table Grid"/>
    <w:basedOn w:val="Standardowy"/>
    <w:uiPriority w:val="39"/>
    <w:rsid w:val="004F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D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18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1889"/>
    <w:rPr>
      <w:color w:val="605E5C"/>
      <w:shd w:val="clear" w:color="auto" w:fill="E1DFDD"/>
    </w:rPr>
  </w:style>
  <w:style w:type="paragraph" w:customStyle="1" w:styleId="Default">
    <w:name w:val="Default"/>
    <w:rsid w:val="00F00D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D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D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ubenchmark.net/CPU_mega_page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1E65-5296-4937-9BEB-10E06093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Mirosława Szewczyk</cp:lastModifiedBy>
  <cp:revision>3</cp:revision>
  <dcterms:created xsi:type="dcterms:W3CDTF">2024-01-10T12:50:00Z</dcterms:created>
  <dcterms:modified xsi:type="dcterms:W3CDTF">2024-01-11T09:52:00Z</dcterms:modified>
</cp:coreProperties>
</file>