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>
            <w:pPr>
              <w:spacing w:after="0" w:line="276" w:lineRule="auto"/>
              <w:jc w:val="center"/>
              <w:rPr>
                <w:rFonts w:ascii="Bookman Old Style" w:hAnsi="Bookman Old Style" w:cs="Courier New"/>
                <w:b/>
                <w:sz w:val="28"/>
              </w:rPr>
            </w:pPr>
            <w:r>
              <w:rPr>
                <w:rFonts w:ascii="Bookman Old Style" w:hAnsi="Bookman Old Style" w:cs="Courier New"/>
                <w:b/>
                <w:sz w:val="28"/>
              </w:rPr>
              <w:t xml:space="preserve">Protokół   nr </w:t>
            </w:r>
            <w:r>
              <w:rPr>
                <w:rFonts w:ascii="Bookman Old Style" w:hAnsi="Bookman Old Style" w:cs="Courier New"/>
                <w:b/>
                <w:color w:val="FF0000"/>
                <w:sz w:val="28"/>
              </w:rPr>
              <w:t xml:space="preserve">(numer protokołu)   </w:t>
            </w:r>
            <w:r>
              <w:rPr>
                <w:rFonts w:ascii="Bookman Old Style" w:hAnsi="Bookman Old Style" w:cs="Courier New"/>
                <w:b/>
                <w:sz w:val="28"/>
              </w:rPr>
              <w:t>kontroli rocznej 202</w:t>
            </w:r>
            <w:r>
              <w:rPr>
                <w:rFonts w:hint="default" w:ascii="Bookman Old Style" w:hAnsi="Bookman Old Style" w:cs="Courier New"/>
                <w:b/>
                <w:sz w:val="28"/>
                <w:lang w:val="pl-PL"/>
              </w:rPr>
              <w:t>2</w:t>
            </w:r>
            <w:r>
              <w:rPr>
                <w:rFonts w:ascii="Bookman Old Style" w:hAnsi="Bookman Old Style" w:cs="Courier New"/>
                <w:b/>
                <w:sz w:val="28"/>
              </w:rPr>
              <w:t xml:space="preserve"> r</w:t>
            </w:r>
          </w:p>
          <w:p>
            <w:pPr>
              <w:spacing w:after="0" w:line="276" w:lineRule="auto"/>
              <w:jc w:val="center"/>
              <w:rPr>
                <w:rFonts w:ascii="Bookman Old Style" w:hAnsi="Bookman Old Style" w:cs="Courier New"/>
                <w:b/>
                <w:sz w:val="24"/>
              </w:rPr>
            </w:pPr>
            <w:r>
              <w:rPr>
                <w:rFonts w:ascii="Bookman Old Style" w:hAnsi="Bookman Old Style" w:cs="Courier New"/>
                <w:b/>
                <w:sz w:val="24"/>
              </w:rPr>
              <w:t>stanu technicznego elementów obiektu budowlanego</w:t>
            </w:r>
          </w:p>
          <w:p>
            <w:pPr>
              <w:spacing w:after="0" w:line="276" w:lineRule="auto"/>
              <w:jc w:val="center"/>
              <w:rPr>
                <w:rFonts w:ascii="Bookman Old Style" w:hAnsi="Bookman Old Style" w:cs="Courier New"/>
                <w:sz w:val="24"/>
              </w:rPr>
            </w:pPr>
            <w:r>
              <w:rPr>
                <w:rFonts w:ascii="Bookman Old Style" w:hAnsi="Bookman Old Style" w:cs="Courier New"/>
                <w:sz w:val="24"/>
              </w:rPr>
              <w:t xml:space="preserve">art. 62.1.1a Prawo Budowlane (t.j. </w:t>
            </w:r>
            <w:r>
              <w:rPr>
                <w:rFonts w:hint="default" w:ascii="Bookman Old Style" w:hAnsi="Bookman Old Style"/>
                <w:sz w:val="24"/>
              </w:rPr>
              <w:t>Dz.U. 2021 poz. 2351</w:t>
            </w:r>
            <w:r>
              <w:rPr>
                <w:rFonts w:ascii="Bookman Old Style" w:hAnsi="Bookman Old Style" w:cs="Courier New"/>
                <w:sz w:val="24"/>
              </w:rPr>
              <w:t xml:space="preserve"> z późn. zm.)</w:t>
            </w:r>
          </w:p>
          <w:p>
            <w:pPr>
              <w:spacing w:after="0" w:line="276" w:lineRule="auto"/>
              <w:jc w:val="center"/>
              <w:rPr>
                <w:rFonts w:ascii="Bookman Old Style" w:hAnsi="Bookman Old Style" w:cs="Times New Roman"/>
                <w:sz w:val="28"/>
              </w:rPr>
            </w:pPr>
          </w:p>
          <w:p>
            <w:pPr>
              <w:spacing w:after="0" w:line="276" w:lineRule="auto"/>
              <w:jc w:val="center"/>
              <w:rPr>
                <w:rFonts w:ascii="Bookman Old Style" w:hAnsi="Bookman Old Style" w:cs="Times New Roman"/>
                <w:sz w:val="28"/>
              </w:rPr>
            </w:pPr>
            <w:r>
              <w:rPr>
                <w:rFonts w:ascii="Bookman Old Style" w:hAnsi="Bookman Old Style" w:cs="Times New Roman"/>
                <w:sz w:val="28"/>
              </w:rPr>
              <w:t>- budynku położonego przy ulicy</w:t>
            </w:r>
            <w:r>
              <w:rPr>
                <w:rFonts w:ascii="Bookman Old Style" w:hAnsi="Bookman Old Style" w:cs="Times New Roman"/>
                <w:b/>
                <w:sz w:val="28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color w:val="FF0000"/>
                <w:sz w:val="28"/>
              </w:rPr>
              <w:t>(nazwa ulicy i nr budynku)</w:t>
            </w:r>
            <w:r>
              <w:rPr>
                <w:rFonts w:ascii="Bookman Old Style" w:hAnsi="Bookman Old Style" w:cs="Times New Roman"/>
                <w:sz w:val="28"/>
              </w:rPr>
              <w:t xml:space="preserve"> w </w:t>
            </w:r>
            <w:r>
              <w:rPr>
                <w:rFonts w:ascii="Bookman Old Style" w:hAnsi="Bookman Old Style" w:cs="Times New Roman"/>
                <w:b/>
                <w:color w:val="FF0000"/>
                <w:sz w:val="28"/>
              </w:rPr>
              <w:t>(miejscowość)</w:t>
            </w:r>
            <w:r>
              <w:rPr>
                <w:rFonts w:ascii="Bookman Old Style" w:hAnsi="Bookman Old Style" w:cs="Times New Roman"/>
                <w:color w:val="FF0000"/>
                <w:sz w:val="28"/>
              </w:rPr>
              <w:t xml:space="preserve"> </w:t>
            </w:r>
            <w:r>
              <w:rPr>
                <w:rFonts w:ascii="Bookman Old Style" w:hAnsi="Bookman Old Style" w:cs="Times New Roman"/>
                <w:sz w:val="28"/>
              </w:rPr>
              <w:t>-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9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84"/>
              <w:gridCol w:w="68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2" w:hRule="atLeast"/>
              </w:trPr>
              <w:tc>
                <w:tcPr>
                  <w:tcW w:w="6884" w:type="dxa"/>
                  <w:vAlign w:val="center"/>
                </w:tcPr>
                <w:p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zdjęcie elewacji frontowej budynku</w:t>
                  </w:r>
                </w:p>
              </w:tc>
              <w:tc>
                <w:tcPr>
                  <w:tcW w:w="6884" w:type="dxa"/>
                  <w:vAlign w:val="center"/>
                </w:tcPr>
                <w:p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zdjęcie elewacji tylnej budynku</w:t>
                  </w:r>
                </w:p>
              </w:tc>
            </w:tr>
          </w:tbl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pStyle w:val="1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 xml:space="preserve">Osoba dokonując przeglądu: </w:t>
      </w:r>
      <w:r>
        <w:rPr>
          <w:rFonts w:ascii="Times New Roman" w:hAnsi="Times New Roman" w:cs="Times New Roman"/>
          <w:b/>
          <w:color w:val="FF0000"/>
          <w:sz w:val="24"/>
        </w:rPr>
        <w:t>(imię i nazwisko, nr uprawnień budowlanych)</w:t>
      </w:r>
      <w:r>
        <w:rPr>
          <w:rFonts w:ascii="Times New Roman" w:hAnsi="Times New Roman" w:cs="Times New Roman"/>
          <w:sz w:val="24"/>
        </w:rPr>
        <w:t xml:space="preserve"> dokonał zgodnie z art. 62 ust. 1 pkt. 1, 2 ustawy z dnia 07 lipca 1994 roku Prawo Budowlane (t.j. </w:t>
      </w:r>
      <w:r>
        <w:rPr>
          <w:rFonts w:hint="default" w:ascii="Times New Roman" w:hAnsi="Times New Roman"/>
          <w:sz w:val="24"/>
        </w:rPr>
        <w:t>Dz.U. 2021 poz. 2351</w:t>
      </w:r>
      <w:r>
        <w:rPr>
          <w:rFonts w:ascii="Times New Roman" w:hAnsi="Times New Roman" w:cs="Times New Roman"/>
          <w:sz w:val="24"/>
        </w:rPr>
        <w:t xml:space="preserve"> z późn. zm.) w dniu </w:t>
      </w:r>
      <w:r>
        <w:rPr>
          <w:rFonts w:ascii="Times New Roman" w:hAnsi="Times New Roman" w:cs="Times New Roman"/>
          <w:b/>
          <w:color w:val="FF0000"/>
          <w:sz w:val="24"/>
        </w:rPr>
        <w:t>(data)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przeglądu rocznego budynku położonego w </w:t>
      </w:r>
      <w:r>
        <w:rPr>
          <w:rFonts w:ascii="Times New Roman" w:hAnsi="Times New Roman" w:cs="Times New Roman"/>
          <w:b/>
          <w:color w:val="FF0000"/>
          <w:sz w:val="24"/>
        </w:rPr>
        <w:t>(miejscowość)</w:t>
      </w:r>
      <w:r>
        <w:rPr>
          <w:rFonts w:ascii="Times New Roman" w:hAnsi="Times New Roman" w:cs="Times New Roman"/>
          <w:sz w:val="24"/>
        </w:rPr>
        <w:t xml:space="preserve"> przy ulicy </w:t>
      </w:r>
      <w:r>
        <w:rPr>
          <w:rFonts w:ascii="Times New Roman" w:hAnsi="Times New Roman" w:cs="Times New Roman"/>
          <w:b/>
          <w:color w:val="FF0000"/>
          <w:sz w:val="24"/>
        </w:rPr>
        <w:t>(nazwa ulicy i nr budynku)</w:t>
      </w:r>
      <w:r>
        <w:rPr>
          <w:rFonts w:ascii="Times New Roman" w:hAnsi="Times New Roman" w:cs="Times New Roman"/>
          <w:color w:val="FF0000"/>
          <w:sz w:val="24"/>
        </w:rPr>
        <w:t>.</w:t>
      </w:r>
    </w:p>
    <w:bookmarkEnd w:id="0"/>
    <w:p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Właściciel/zarządca obiektu: Zakład Gospodarki Miejskiej w Lubawce, ul. Zielona 12, 58-420 Lubawka.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16"/>
        </w:rPr>
      </w:pPr>
    </w:p>
    <w:p>
      <w:pPr>
        <w:pStyle w:val="10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Przed rozpoczęciem kontroli zapoznano się z:</w:t>
      </w:r>
    </w:p>
    <w:p>
      <w:pPr>
        <w:pStyle w:val="10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protokołami z poprzedniej kontroli;</w:t>
      </w:r>
    </w:p>
    <w:p>
      <w:pPr>
        <w:pStyle w:val="10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protokołami odbioru robót remontowych wykonanych w budynku;</w:t>
      </w:r>
    </w:p>
    <w:p>
      <w:pPr>
        <w:pStyle w:val="10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zgłoszeniami użytkowników lokali dotyczących usterek, wad, uszkodzeń lub zniszczeń elementów budynku;</w:t>
      </w:r>
    </w:p>
    <w:p>
      <w:pPr>
        <w:pStyle w:val="10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(inne dokumenty, informacje mające znaczenie dla oceny stanu technicznego).</w:t>
      </w:r>
    </w:p>
    <w:p>
      <w:pPr>
        <w:spacing w:after="0" w:line="276" w:lineRule="auto"/>
        <w:rPr>
          <w:rFonts w:ascii="Times New Roman" w:hAnsi="Times New Roman" w:cs="Times New Roman"/>
          <w:sz w:val="16"/>
        </w:rPr>
      </w:pPr>
    </w:p>
    <w:p>
      <w:pPr>
        <w:pStyle w:val="1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Zakres niewykonanych zaleceń określonych w protokołach z poprzednich kontroli: </w:t>
      </w:r>
      <w:r>
        <w:rPr>
          <w:rFonts w:ascii="Times New Roman" w:hAnsi="Times New Roman" w:cs="Times New Roman"/>
          <w:sz w:val="24"/>
        </w:rPr>
        <w:t>zalecenia z poprzednich protokołów, które do czasu kontroli nie zostały wykonane, wskazano w tabeli poniżej poprzez pogrubienie tekstu w kolumnie „Określenie zakresu robót”.</w:t>
      </w:r>
    </w:p>
    <w:p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>
      <w:pPr>
        <w:pStyle w:val="10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Kontroli poddano: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421"/>
        <w:gridCol w:w="1984"/>
        <w:gridCol w:w="6946"/>
        <w:gridCol w:w="3402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</w:t>
            </w:r>
          </w:p>
        </w:tc>
        <w:tc>
          <w:tcPr>
            <w:tcW w:w="1984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Elementy budynku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Materiał, sposób wykonania, mocowania, wyposażenie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stanu technicznego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Określenie zakresu robót</w:t>
            </w: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Stopień pilności remontu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13994" w:type="dxa"/>
            <w:gridSpan w:val="5"/>
          </w:tcPr>
          <w:p>
            <w:pPr>
              <w:pStyle w:val="10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Zewnętrzne warstwy przegród zewnętrznych (warstwa fakturowa)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Tynki i okładziny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ogólna konstrukcja budynku, 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rodzaj i faktura tynków i okładzin, 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istniejące zawilgocenie, stan tynków, okładzin i malatury,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istniejące elementy wzmocnienia konstrukcji budynku na elewacjach,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elewacji</w:t>
            </w:r>
          </w:p>
        </w:tc>
        <w:tc>
          <w:tcPr>
            <w:tcW w:w="3402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13994" w:type="dxa"/>
            <w:gridSpan w:val="5"/>
          </w:tcPr>
          <w:p>
            <w:pPr>
              <w:pStyle w:val="10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Elementy ścian zewnętrznych.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Attyki, facjaty, lukarny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czy występują wymienione elementy,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konstrukcja i rodzaj wykończenia,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Filary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czy występują wymienione elementy,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konstrukcja i rodzaj wykończenia,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Gzymsy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czy występują wymienione elementy,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konstrukcja i rodzaj wykończenia,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Balkony, tarasy, loggie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czy występują wymienione elementy,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konstrukcja i rodzaj wykończenia,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Wejście główne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lokalizacja wejścia głównego i sposób wejścia do budynku,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wyposażenie w zadaszenie i zewnętrzne oświetlenie elektryczne,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stan techniczny stopni wejściowych,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rodzaj, kompletność i stan techniczny drzwi wejściowych,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obecność innych wejść do budynku, jw.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Stolarka okienna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stolarki okiennej,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kompletność i stan techniczny stolarki okiennej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13994" w:type="dxa"/>
            <w:gridSpan w:val="5"/>
          </w:tcPr>
          <w:p>
            <w:pPr>
              <w:pStyle w:val="10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Urządzenia i instalacje zamocowane do ścian i dachu budynku.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Elementy mocowane do elewacji budynku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rodzaj, lokalizacja i sposób zamocowania do elewacji,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Balustrady zewnętrzne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rodzaj, lokalizacja i sposób zamocowania do elewacji,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Przyłącze energetyczne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i stan przyłącza,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Instalacja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odgromowa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i stan instalacji,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Instalacja fotowoltaiczna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i stan instalacji,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Przyłącze gazowe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i stan przyłącza,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13994" w:type="dxa"/>
            <w:gridSpan w:val="5"/>
            <w:vAlign w:val="center"/>
          </w:tcPr>
          <w:p>
            <w:pPr>
              <w:pStyle w:val="10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Dojścia do budynku, teren przyległy.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Schody i pochylnie zewnętrzne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stan techniczny stopni wejściowych,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rodzaj, kompletność i stan techniczny,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Teren przyległy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zagospodarowanie terenów przyległych,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sposób wykonania dojść i dojazdów do budynku,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nawierzchnie wokół budynku,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otoczenia budynku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13994" w:type="dxa"/>
            <w:gridSpan w:val="5"/>
          </w:tcPr>
          <w:p>
            <w:pPr>
              <w:pStyle w:val="10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Pokrycie dachowe.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Kominy, ławy kominiarskie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i stan tynkowania lub licowania kominów,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kompletność kominów i ich wykończenia,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i stan techniczny ław kominiarskich,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Pokrycie dachu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pokrycia dachowego,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stan, kompletność i równość pokrycia,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obecność przecieków,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OGÓLNY stan techniczny pokrycia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Obróbki blacharskie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rodzaj, stan i kompletność obróbek blacharskich,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pokrycia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Rynny i rury spustowe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rodzaj, stan i kompletność rynien i rur spustowych,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sposób odprowadzenia wody,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13994" w:type="dxa"/>
            <w:gridSpan w:val="5"/>
            <w:vAlign w:val="center"/>
          </w:tcPr>
          <w:p>
            <w:pPr>
              <w:pStyle w:val="10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Instalacje i urządzenia służące ochronie środowiska.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Kanalizacja ściekowa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i stan przyłącza,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Kanalizacja deszczowa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i stan przyłącza,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Zbiorniki bezodpływowe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i stan przyłącza,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Urządzenia do oczyszczania ścieków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i stan elementów,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Ekrany akustyczne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i stan przyłącza,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Odprowadzenie ścieków z budynku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i stan przyłącza,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421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Zabezpieczenie przed wtórnym zanieczyszczeniem wody</w:t>
            </w:r>
          </w:p>
        </w:tc>
        <w:tc>
          <w:tcPr>
            <w:tcW w:w="6946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rodzaj i stan przyłącza,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OGÓLNY stan techniczny elementów</w:t>
            </w:r>
          </w:p>
        </w:tc>
        <w:tc>
          <w:tcPr>
            <w:tcW w:w="3402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>
      <w:pPr>
        <w:pStyle w:val="10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Wykaz robót do wykonania w trybie pilnym:</w:t>
      </w:r>
    </w:p>
    <w:p>
      <w:pPr>
        <w:spacing w:after="0" w:line="276" w:lineRule="auto"/>
        <w:ind w:firstLine="708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(Wyszczególnienie robót o I stopniu pilności)</w:t>
      </w:r>
    </w:p>
    <w:p>
      <w:pPr>
        <w:spacing w:after="0" w:line="276" w:lineRule="auto"/>
        <w:rPr>
          <w:rFonts w:ascii="Times New Roman" w:hAnsi="Times New Roman" w:cs="Times New Roman"/>
          <w:b/>
          <w:sz w:val="16"/>
        </w:rPr>
      </w:pPr>
    </w:p>
    <w:p>
      <w:pPr>
        <w:pStyle w:val="10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Wnioski z przeprowadzonej kontroli:</w:t>
      </w:r>
    </w:p>
    <w:p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Określenie stanu technicznego: </w:t>
      </w:r>
      <w:r>
        <w:rPr>
          <w:rFonts w:ascii="Times New Roman" w:hAnsi="Times New Roman" w:cs="Times New Roman"/>
          <w:color w:val="FF0000"/>
          <w:sz w:val="24"/>
          <w:szCs w:val="24"/>
        </w:rPr>
        <w:t>(do wyboru)</w:t>
      </w:r>
    </w:p>
    <w:p>
      <w:pPr>
        <w:pStyle w:val="10"/>
        <w:numPr>
          <w:ilvl w:val="0"/>
          <w:numId w:val="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Obiekt znajduje się w należytym stanie technicznym, zapewniającym dalsze bezpieczne jego użytkowanie.</w:t>
      </w:r>
    </w:p>
    <w:p>
      <w:pPr>
        <w:pStyle w:val="10"/>
        <w:numPr>
          <w:ilvl w:val="0"/>
          <w:numId w:val="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Część obiektu znajduje się w nieodpowiednim stanie technicznym, jednak nie zagraża życiu lub zdrowiu, bezpieczeństwu mienia lub środowisku. Należy wykonać wskazane prace remontowe w celu doprowadzenia obiektu do należytego stanu technicznego.</w:t>
      </w:r>
    </w:p>
    <w:p>
      <w:pPr>
        <w:pStyle w:val="10"/>
        <w:numPr>
          <w:ilvl w:val="0"/>
          <w:numId w:val="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Część obiektu może zagrażać życiu lub zdrowiu, bezpieczeństwu mienia lub środowisku – należy zakazać ich użytkowania.</w:t>
      </w:r>
    </w:p>
    <w:p>
      <w:pPr>
        <w:pStyle w:val="10"/>
        <w:numPr>
          <w:ilvl w:val="0"/>
          <w:numId w:val="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Obiekt powoduje swym wyglądem oszpecenie otoczenia.</w:t>
      </w:r>
    </w:p>
    <w:p>
      <w:pPr>
        <w:spacing w:after="0" w:line="276" w:lineRule="auto"/>
        <w:ind w:left="1134" w:hanging="283"/>
        <w:jc w:val="both"/>
        <w:rPr>
          <w:rFonts w:ascii="Times New Roman" w:hAnsi="Times New Roman" w:cs="Times New Roman"/>
          <w:i/>
          <w:sz w:val="16"/>
          <w:szCs w:val="24"/>
        </w:rPr>
      </w:pPr>
    </w:p>
    <w:p>
      <w:pPr>
        <w:pStyle w:val="10"/>
        <w:numPr>
          <w:ilvl w:val="0"/>
          <w:numId w:val="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związku ze stwierdzeniem uszkodzeń lub braków, które mogłyby zagrażać życiu lub zdrowiu ludzi, bezpieczeństwu mienia lub środowisku, kopia protokołu zostanie przekazana do właściwego Powiatowego Inspektora Nadzoru Budowlanego.</w:t>
      </w:r>
    </w:p>
    <w:p>
      <w:pPr>
        <w:spacing w:after="0" w:line="276" w:lineRule="auto"/>
        <w:rPr>
          <w:rFonts w:ascii="Times New Roman" w:hAnsi="Times New Roman" w:cs="Times New Roman"/>
          <w:b/>
          <w:sz w:val="16"/>
          <w:szCs w:val="24"/>
        </w:rPr>
      </w:pPr>
    </w:p>
    <w:p>
      <w:pPr>
        <w:pStyle w:val="10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>
      <w:pPr>
        <w:pStyle w:val="10"/>
        <w:numPr>
          <w:ilvl w:val="0"/>
          <w:numId w:val="7"/>
        </w:numPr>
        <w:spacing w:after="0" w:line="276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fotograficzna uszkodzonych elementów obiektu.</w:t>
      </w:r>
    </w:p>
    <w:p>
      <w:pPr>
        <w:pStyle w:val="10"/>
        <w:numPr>
          <w:ilvl w:val="0"/>
          <w:numId w:val="7"/>
        </w:numPr>
        <w:spacing w:after="0" w:line="276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o nadaniu uprawnień budowlanych.</w:t>
      </w:r>
    </w:p>
    <w:p>
      <w:pPr>
        <w:pStyle w:val="10"/>
        <w:numPr>
          <w:ilvl w:val="0"/>
          <w:numId w:val="7"/>
        </w:numPr>
        <w:spacing w:after="0" w:line="276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o przynależności do DOIIB.</w:t>
      </w:r>
    </w:p>
    <w:p>
      <w:pPr>
        <w:spacing w:after="0" w:line="276" w:lineRule="auto"/>
        <w:rPr>
          <w:rFonts w:ascii="Times New Roman" w:hAnsi="Times New Roman" w:cs="Times New Roman"/>
          <w:b/>
          <w:sz w:val="16"/>
          <w:szCs w:val="24"/>
        </w:rPr>
      </w:pPr>
    </w:p>
    <w:p>
      <w:pPr>
        <w:pStyle w:val="10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Termin następnej kontroli do: </w:t>
      </w:r>
      <w:r>
        <w:rPr>
          <w:rFonts w:ascii="Times New Roman" w:hAnsi="Times New Roman" w:cs="Times New Roman"/>
          <w:i/>
          <w:color w:val="FF0000"/>
          <w:sz w:val="24"/>
        </w:rPr>
        <w:t>(termin następnej kontroli)</w:t>
      </w:r>
    </w:p>
    <w:p>
      <w:pPr>
        <w:spacing w:after="0" w:line="276" w:lineRule="auto"/>
        <w:rPr>
          <w:rFonts w:ascii="Times New Roman" w:hAnsi="Times New Roman" w:cs="Times New Roman"/>
          <w:b/>
          <w:sz w:val="16"/>
        </w:rPr>
      </w:pPr>
    </w:p>
    <w:p>
      <w:pPr>
        <w:pStyle w:val="10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Legenda:</w:t>
      </w:r>
    </w:p>
    <w:p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stopnia pilności remontu:</w:t>
      </w:r>
    </w:p>
    <w:p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stopień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elementy wymagające niezwłocznej naprawy</w:t>
      </w:r>
    </w:p>
    <w:p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stopień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elementy wymagające remontu w ciągu roku od dokonania kontroli</w:t>
      </w:r>
    </w:p>
    <w:p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stopień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elementy wymagające remontu w terminie 2 – 3 lat</w:t>
      </w:r>
    </w:p>
    <w:p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stopień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wykonanie prac może nastąpić w terminie późniejszym, ale powinno być zakończone w terminie do 5 lat.</w:t>
      </w: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(przynajmniej 5 zdjęć przedstawiających zauważone usterki lub braki, wydrukowane w kolorze)</w:t>
      </w: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EE"/>
    <w:family w:val="roman"/>
    <w:pitch w:val="default"/>
    <w:sig w:usb0="00000287" w:usb1="00000000" w:usb2="00000000" w:usb3="00000000" w:csb0="2000009F" w:csb1="DFD7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color w:val="FF0000"/>
      </w:rPr>
      <w:t xml:space="preserve">(nr protokołu) </w:t>
    </w:r>
    <w:r>
      <w:rPr>
        <w:rFonts w:ascii="Times New Roman" w:hAnsi="Times New Roman" w:cs="Times New Roman"/>
      </w:rPr>
      <w:t xml:space="preserve">– budynek </w:t>
    </w:r>
    <w:r>
      <w:rPr>
        <w:rFonts w:ascii="Times New Roman" w:hAnsi="Times New Roman" w:cs="Times New Roman"/>
        <w:color w:val="FF0000"/>
      </w:rPr>
      <w:t xml:space="preserve">(adres) </w:t>
    </w:r>
    <w:r>
      <w:rPr>
        <w:rFonts w:ascii="Times New Roman" w:hAnsi="Times New Roman" w:cs="Times New Roman"/>
      </w:rPr>
      <w:t>– roczny 202</w:t>
    </w:r>
    <w:r>
      <w:rPr>
        <w:rFonts w:hint="default" w:ascii="Times New Roman" w:hAnsi="Times New Roman" w:cs="Times New Roman"/>
        <w:lang w:val="pl-PL"/>
      </w:rPr>
      <w:t>2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</w:rPr>
      <w:fldChar w:fldCharType="begin"/>
    </w:r>
    <w:r>
      <w:rPr>
        <w:rFonts w:ascii="Times New Roman" w:hAnsi="Times New Roman" w:cs="Times New Roman"/>
        <w:b/>
      </w:rPr>
      <w:instrText xml:space="preserve">PAGE  \* Arabic  \* MERGEFORMAT</w:instrText>
    </w:r>
    <w:r>
      <w:rPr>
        <w:rFonts w:ascii="Times New Roman" w:hAnsi="Times New Roman" w:cs="Times New Roman"/>
        <w:b/>
      </w:rPr>
      <w:fldChar w:fldCharType="separate"/>
    </w:r>
    <w:r>
      <w:rPr>
        <w:rFonts w:ascii="Times New Roman" w:hAnsi="Times New Roman" w:cs="Times New Roman"/>
        <w:b/>
      </w:rPr>
      <w:t>6</w:t>
    </w:r>
    <w:r>
      <w:rPr>
        <w:rFonts w:ascii="Times New Roman" w:hAnsi="Times New Roman" w:cs="Times New Roman"/>
        <w:b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</w:rPr>
      <w:fldChar w:fldCharType="begin"/>
    </w:r>
    <w:r>
      <w:rPr>
        <w:rFonts w:ascii="Times New Roman" w:hAnsi="Times New Roman" w:cs="Times New Roman"/>
        <w:b/>
      </w:rPr>
      <w:instrText xml:space="preserve">NUMPAGES  \* Arabic  \* MERGEFORMAT</w:instrText>
    </w:r>
    <w:r>
      <w:rPr>
        <w:rFonts w:ascii="Times New Roman" w:hAnsi="Times New Roman" w:cs="Times New Roman"/>
        <w:b/>
      </w:rPr>
      <w:fldChar w:fldCharType="separate"/>
    </w:r>
    <w:r>
      <w:rPr>
        <w:rFonts w:ascii="Times New Roman" w:hAnsi="Times New Roman" w:cs="Times New Roman"/>
        <w:b/>
      </w:rPr>
      <w:t>6</w:t>
    </w:r>
    <w:r>
      <w:rPr>
        <w:rFonts w:ascii="Times New Roman" w:hAnsi="Times New Roman" w:cs="Times New Roman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2020 / </w:t>
    </w:r>
    <w:r>
      <w:rPr>
        <w:rFonts w:ascii="Times New Roman" w:hAnsi="Times New Roman" w:cs="Times New Roman"/>
        <w:color w:val="FF0000"/>
      </w:rPr>
      <w:t xml:space="preserve">ul. (nazwa ulicy i nr budynku), (miejscowość) </w:t>
    </w:r>
    <w:r>
      <w:rPr>
        <w:rFonts w:ascii="Times New Roman" w:hAnsi="Times New Roman" w:cs="Times New Roman"/>
      </w:rPr>
      <w:t>– 1</w:t>
    </w:r>
    <w:r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 w:eastAsiaTheme="majorEastAsia"/>
      </w:rPr>
      <w:t xml:space="preserve">str. </w:t>
    </w:r>
    <w:r>
      <w:rPr>
        <w:rFonts w:ascii="Times New Roman" w:hAnsi="Times New Roman" w:cs="Times New Roman" w:eastAsiaTheme="minorEastAsia"/>
      </w:rPr>
      <w:fldChar w:fldCharType="begin"/>
    </w:r>
    <w:r>
      <w:rPr>
        <w:rFonts w:ascii="Times New Roman" w:hAnsi="Times New Roman" w:cs="Times New Roman"/>
      </w:rPr>
      <w:instrText xml:space="preserve">PAGE    \* MERGEFORMAT</w:instrText>
    </w:r>
    <w:r>
      <w:rPr>
        <w:rFonts w:ascii="Times New Roman" w:hAnsi="Times New Roman" w:cs="Times New Roman" w:eastAsiaTheme="minorEastAsia"/>
      </w:rPr>
      <w:fldChar w:fldCharType="separate"/>
    </w:r>
    <w:r>
      <w:rPr>
        <w:rFonts w:ascii="Times New Roman" w:hAnsi="Times New Roman" w:cs="Times New Roman" w:eastAsiaTheme="majorEastAsia"/>
      </w:rPr>
      <w:t>1</w:t>
    </w:r>
    <w:r>
      <w:rPr>
        <w:rFonts w:ascii="Times New Roman" w:hAnsi="Times New Roman" w:cs="Times New Roman" w:eastAsiaTheme="major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12" w:space="1"/>
      </w:pBdr>
      <w:rPr>
        <w:rFonts w:ascii="Times New Roman" w:hAnsi="Times New Roman" w:cs="Times New Roman"/>
        <w:color w:val="FF0000"/>
        <w:sz w:val="24"/>
      </w:rPr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12" w:space="1"/>
      </w:pBdr>
      <w:rPr>
        <w:rFonts w:ascii="Times New Roman" w:hAnsi="Times New Roman" w:cs="Times New Roman"/>
        <w:color w:val="FF0000"/>
        <w:sz w:val="24"/>
      </w:rPr>
    </w:pPr>
    <w:r>
      <w:rPr>
        <w:rFonts w:ascii="Times New Roman" w:hAnsi="Times New Roman" w:cs="Times New Roman"/>
        <w:color w:val="FF0000"/>
        <w:sz w:val="24"/>
      </w:rPr>
      <w:t xml:space="preserve">(nazwa </w:t>
    </w:r>
  </w:p>
  <w:p>
    <w:pPr>
      <w:pStyle w:val="6"/>
      <w:pBdr>
        <w:bottom w:val="single" w:color="auto" w:sz="12" w:space="1"/>
      </w:pBdr>
      <w:rPr>
        <w:rFonts w:ascii="Times New Roman" w:hAnsi="Times New Roman" w:cs="Times New Roman"/>
        <w:color w:val="FF0000"/>
        <w:sz w:val="24"/>
      </w:rPr>
    </w:pPr>
    <w:r>
      <w:rPr>
        <w:rFonts w:ascii="Times New Roman" w:hAnsi="Times New Roman" w:cs="Times New Roman"/>
        <w:color w:val="FF0000"/>
        <w:sz w:val="24"/>
      </w:rPr>
      <w:t xml:space="preserve">i adres siedziby </w:t>
    </w:r>
  </w:p>
  <w:p>
    <w:pPr>
      <w:pStyle w:val="6"/>
      <w:pBdr>
        <w:bottom w:val="single" w:color="auto" w:sz="12" w:space="1"/>
      </w:pBdr>
      <w:rPr>
        <w:rFonts w:ascii="Times New Roman" w:hAnsi="Times New Roman" w:cs="Times New Roman"/>
        <w:color w:val="FF0000"/>
        <w:sz w:val="24"/>
      </w:rPr>
    </w:pPr>
    <w:r>
      <w:rPr>
        <w:rFonts w:ascii="Times New Roman" w:hAnsi="Times New Roman" w:cs="Times New Roman"/>
        <w:color w:val="FF0000"/>
        <w:sz w:val="24"/>
      </w:rPr>
      <w:t>wykonawcy)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230EF"/>
    <w:multiLevelType w:val="multilevel"/>
    <w:tmpl w:val="0CC230EF"/>
    <w:lvl w:ilvl="0" w:tentative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08FE"/>
    <w:multiLevelType w:val="multilevel"/>
    <w:tmpl w:val="109A08FE"/>
    <w:lvl w:ilvl="0" w:tentative="0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E6798"/>
    <w:multiLevelType w:val="multilevel"/>
    <w:tmpl w:val="1EDE679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38F687B"/>
    <w:multiLevelType w:val="multilevel"/>
    <w:tmpl w:val="238F687B"/>
    <w:lvl w:ilvl="0" w:tentative="0">
      <w:start w:val="1"/>
      <w:numFmt w:val="bullet"/>
      <w:lvlText w:val="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>
    <w:nsid w:val="55F319F5"/>
    <w:multiLevelType w:val="multilevel"/>
    <w:tmpl w:val="55F319F5"/>
    <w:lvl w:ilvl="0" w:tentative="0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27E6A"/>
    <w:multiLevelType w:val="multilevel"/>
    <w:tmpl w:val="60F27E6A"/>
    <w:lvl w:ilvl="0" w:tentative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80B31"/>
    <w:multiLevelType w:val="multilevel"/>
    <w:tmpl w:val="72480B3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E5"/>
    <w:rsid w:val="00010569"/>
    <w:rsid w:val="000447CA"/>
    <w:rsid w:val="000712C2"/>
    <w:rsid w:val="0007163B"/>
    <w:rsid w:val="00073696"/>
    <w:rsid w:val="00080843"/>
    <w:rsid w:val="00084A3F"/>
    <w:rsid w:val="00087972"/>
    <w:rsid w:val="000A3F90"/>
    <w:rsid w:val="000B175A"/>
    <w:rsid w:val="000B1F71"/>
    <w:rsid w:val="000D10FA"/>
    <w:rsid w:val="000D7E2F"/>
    <w:rsid w:val="00103C99"/>
    <w:rsid w:val="00106681"/>
    <w:rsid w:val="001123E0"/>
    <w:rsid w:val="00120298"/>
    <w:rsid w:val="001208F2"/>
    <w:rsid w:val="00140CE3"/>
    <w:rsid w:val="0015080B"/>
    <w:rsid w:val="00170281"/>
    <w:rsid w:val="00192835"/>
    <w:rsid w:val="001A73FA"/>
    <w:rsid w:val="00236024"/>
    <w:rsid w:val="00241B6A"/>
    <w:rsid w:val="002566F2"/>
    <w:rsid w:val="0026686E"/>
    <w:rsid w:val="002B547B"/>
    <w:rsid w:val="002C0A02"/>
    <w:rsid w:val="00311A91"/>
    <w:rsid w:val="00314D41"/>
    <w:rsid w:val="00335954"/>
    <w:rsid w:val="003612B2"/>
    <w:rsid w:val="00364CDE"/>
    <w:rsid w:val="003B0C7A"/>
    <w:rsid w:val="003C3ADE"/>
    <w:rsid w:val="003C75FC"/>
    <w:rsid w:val="003E110A"/>
    <w:rsid w:val="003F5EAF"/>
    <w:rsid w:val="0043795B"/>
    <w:rsid w:val="00446923"/>
    <w:rsid w:val="004957EF"/>
    <w:rsid w:val="004C0091"/>
    <w:rsid w:val="004C0509"/>
    <w:rsid w:val="004E38F8"/>
    <w:rsid w:val="00512EA9"/>
    <w:rsid w:val="00534A3D"/>
    <w:rsid w:val="005810EB"/>
    <w:rsid w:val="005A0226"/>
    <w:rsid w:val="005C4DA2"/>
    <w:rsid w:val="005D3A4A"/>
    <w:rsid w:val="005D71D0"/>
    <w:rsid w:val="00605237"/>
    <w:rsid w:val="00627208"/>
    <w:rsid w:val="00637258"/>
    <w:rsid w:val="00647F90"/>
    <w:rsid w:val="00650057"/>
    <w:rsid w:val="006604EC"/>
    <w:rsid w:val="00671853"/>
    <w:rsid w:val="006930B1"/>
    <w:rsid w:val="006A49AF"/>
    <w:rsid w:val="006B5963"/>
    <w:rsid w:val="006B6748"/>
    <w:rsid w:val="0071191C"/>
    <w:rsid w:val="00714509"/>
    <w:rsid w:val="00746138"/>
    <w:rsid w:val="00761F43"/>
    <w:rsid w:val="0077646E"/>
    <w:rsid w:val="007A0F08"/>
    <w:rsid w:val="007A30EA"/>
    <w:rsid w:val="007B513F"/>
    <w:rsid w:val="007B6B81"/>
    <w:rsid w:val="00852E76"/>
    <w:rsid w:val="008752AB"/>
    <w:rsid w:val="00875707"/>
    <w:rsid w:val="0088061B"/>
    <w:rsid w:val="008A0BE4"/>
    <w:rsid w:val="008D1DD4"/>
    <w:rsid w:val="00941506"/>
    <w:rsid w:val="00957498"/>
    <w:rsid w:val="00987341"/>
    <w:rsid w:val="0099150F"/>
    <w:rsid w:val="009B4F71"/>
    <w:rsid w:val="009F5A50"/>
    <w:rsid w:val="00A007F4"/>
    <w:rsid w:val="00A10787"/>
    <w:rsid w:val="00A46246"/>
    <w:rsid w:val="00A50D60"/>
    <w:rsid w:val="00A70F65"/>
    <w:rsid w:val="00A83137"/>
    <w:rsid w:val="00A91F44"/>
    <w:rsid w:val="00AD6C8B"/>
    <w:rsid w:val="00AF65C4"/>
    <w:rsid w:val="00B245E5"/>
    <w:rsid w:val="00B5262F"/>
    <w:rsid w:val="00B701FC"/>
    <w:rsid w:val="00B742CD"/>
    <w:rsid w:val="00B746E3"/>
    <w:rsid w:val="00BB594E"/>
    <w:rsid w:val="00BD569E"/>
    <w:rsid w:val="00BF19F3"/>
    <w:rsid w:val="00C02B07"/>
    <w:rsid w:val="00C23D34"/>
    <w:rsid w:val="00C64E5F"/>
    <w:rsid w:val="00C67011"/>
    <w:rsid w:val="00C75D25"/>
    <w:rsid w:val="00C90808"/>
    <w:rsid w:val="00C93C1C"/>
    <w:rsid w:val="00CB12CB"/>
    <w:rsid w:val="00CB27F8"/>
    <w:rsid w:val="00CC6CCE"/>
    <w:rsid w:val="00D07927"/>
    <w:rsid w:val="00D10FC6"/>
    <w:rsid w:val="00D3606B"/>
    <w:rsid w:val="00D55358"/>
    <w:rsid w:val="00D618D3"/>
    <w:rsid w:val="00D64853"/>
    <w:rsid w:val="00D94AEF"/>
    <w:rsid w:val="00DA671A"/>
    <w:rsid w:val="00DB21A1"/>
    <w:rsid w:val="00DC5CC0"/>
    <w:rsid w:val="00DD4D8E"/>
    <w:rsid w:val="00DE135C"/>
    <w:rsid w:val="00DF1100"/>
    <w:rsid w:val="00DF16CC"/>
    <w:rsid w:val="00E0121E"/>
    <w:rsid w:val="00E6579A"/>
    <w:rsid w:val="00E769A5"/>
    <w:rsid w:val="00EA2D2B"/>
    <w:rsid w:val="00EA61A3"/>
    <w:rsid w:val="00ED2D01"/>
    <w:rsid w:val="00ED7121"/>
    <w:rsid w:val="00F17E13"/>
    <w:rsid w:val="00F70D2E"/>
    <w:rsid w:val="00F71948"/>
    <w:rsid w:val="00F8242D"/>
    <w:rsid w:val="00F8752D"/>
    <w:rsid w:val="00F9180C"/>
    <w:rsid w:val="00FB58BC"/>
    <w:rsid w:val="00FC3DE8"/>
    <w:rsid w:val="00FC4F89"/>
    <w:rsid w:val="00FD557D"/>
    <w:rsid w:val="00FF3233"/>
    <w:rsid w:val="3B025C11"/>
    <w:rsid w:val="7628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agłówek Znak"/>
    <w:basedOn w:val="2"/>
    <w:link w:val="6"/>
    <w:qFormat/>
    <w:uiPriority w:val="99"/>
  </w:style>
  <w:style w:type="character" w:customStyle="1" w:styleId="9">
    <w:name w:val="Stopka Znak"/>
    <w:basedOn w:val="2"/>
    <w:link w:val="5"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B6AF9-D27D-42D6-8142-0C3BA47EB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945</Words>
  <Characters>5671</Characters>
  <Lines>47</Lines>
  <Paragraphs>13</Paragraphs>
  <TotalTime>280</TotalTime>
  <ScaleCrop>false</ScaleCrop>
  <LinksUpToDate>false</LinksUpToDate>
  <CharactersWithSpaces>6603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2017-09-14T08:32:00Z</dcterms:created>
  <dc:creator>A2</dc:creator>
  <cp:lastModifiedBy>WPS_1635590503</cp:lastModifiedBy>
  <cp:lastPrinted>2017-08-21T13:04:00Z</cp:lastPrinted>
  <dcterms:modified xsi:type="dcterms:W3CDTF">2022-09-04T19:09:47Z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540B72F43FE64012A885A91006A205F8</vt:lpwstr>
  </property>
</Properties>
</file>