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tblGridChange w:id="0">
          <w:tblGrid>
            <w:gridCol w:w="9070"/>
          </w:tblGrid>
        </w:tblGridChange>
      </w:tblGrid>
      <w:tr w:rsidR="009B2065" w:rsidRPr="006272BA" w:rsidTr="009B2065">
        <w:tc>
          <w:tcPr>
            <w:tcW w:w="9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065" w:rsidRPr="006272BA" w:rsidRDefault="009B2065" w:rsidP="009B2065">
            <w:pPr>
              <w:keepNext/>
              <w:spacing w:after="0" w:line="240" w:lineRule="auto"/>
              <w:jc w:val="right"/>
              <w:rPr>
                <w:rFonts w:cs="Calibri"/>
                <w:i/>
                <w:szCs w:val="24"/>
                <w:lang w:eastAsia="ar-SA"/>
              </w:rPr>
            </w:pPr>
            <w:r w:rsidRPr="006272BA">
              <w:rPr>
                <w:rFonts w:cs="Calibri"/>
                <w:i/>
                <w:szCs w:val="24"/>
                <w:lang w:eastAsia="ar-SA"/>
              </w:rPr>
              <w:t>Załącznik nr 3</w:t>
            </w:r>
          </w:p>
        </w:tc>
      </w:tr>
      <w:tr w:rsidR="009B2065" w:rsidRPr="00052DA8" w:rsidTr="009B2065"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2065" w:rsidRPr="00252715" w:rsidRDefault="009B2065" w:rsidP="009B2065">
            <w:pPr>
              <w:keepNext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  <w:p w:rsidR="009B2065" w:rsidRDefault="009B2065" w:rsidP="009B2065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</w:p>
          <w:p w:rsidR="009B2065" w:rsidRPr="00052DA8" w:rsidRDefault="009B2065" w:rsidP="009B2065">
            <w:pPr>
              <w:keepNext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2065" w:rsidRPr="00052DA8" w:rsidTr="009B2065">
        <w:trPr>
          <w:trHeight w:val="192"/>
        </w:trPr>
        <w:tc>
          <w:tcPr>
            <w:tcW w:w="9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065" w:rsidRPr="00052DA8" w:rsidRDefault="009B2065" w:rsidP="009B2065">
            <w:pPr>
              <w:keepNext/>
              <w:spacing w:after="0" w:line="240" w:lineRule="auto"/>
              <w:rPr>
                <w:rFonts w:cs="Calibri"/>
              </w:rPr>
            </w:pPr>
          </w:p>
        </w:tc>
      </w:tr>
      <w:tr w:rsidR="009B2065" w:rsidRPr="00052DA8" w:rsidTr="009B2065"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5" w:rsidRPr="00990D56" w:rsidRDefault="009B2065" w:rsidP="009B2065">
            <w:pPr>
              <w:keepNext/>
              <w:keepLines/>
              <w:suppressAutoHyphens/>
              <w:spacing w:after="0" w:line="240" w:lineRule="auto"/>
              <w:ind w:left="-108"/>
              <w:jc w:val="center"/>
              <w:rPr>
                <w:rFonts w:cs="Calibri"/>
                <w:b/>
                <w:bCs/>
                <w:lang w:eastAsia="pl-PL"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 w:rsidRPr="00252715">
              <w:rPr>
                <w:rFonts w:cs="Calibri"/>
                <w:b/>
                <w:bCs/>
                <w:spacing w:val="-2"/>
                <w:lang w:eastAsia="pl-PL"/>
              </w:rPr>
              <w:t>„Dostawa opon dla Międzygminnego Kompleksu Unieszkodliwiania Odpadów ProNatura Sp. z o.o.”</w:t>
            </w:r>
          </w:p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ind w:left="-108"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>
              <w:rPr>
                <w:rFonts w:cs="Calibri"/>
                <w:b/>
                <w:iCs/>
                <w:lang w:eastAsia="ar-SA"/>
              </w:rPr>
              <w:fldChar w:fldCharType="begin"/>
            </w:r>
            <w:r>
              <w:rPr>
                <w:rFonts w:cs="Calibri"/>
                <w:b/>
                <w:iCs/>
                <w:lang w:eastAsia="ar-SA"/>
              </w:rPr>
              <w:instrText xml:space="preserve"> REF Nr_referencyjny \h </w:instrText>
            </w:r>
            <w:r>
              <w:rPr>
                <w:rFonts w:cs="Calibri"/>
                <w:b/>
                <w:iCs/>
                <w:lang w:eastAsia="ar-SA"/>
              </w:rPr>
            </w:r>
            <w:r>
              <w:rPr>
                <w:rFonts w:cs="Calibri"/>
                <w:b/>
                <w:iCs/>
                <w:lang w:eastAsia="ar-SA"/>
              </w:rPr>
              <w:fldChar w:fldCharType="separate"/>
            </w:r>
            <w:r w:rsidRPr="00F555EC">
              <w:rPr>
                <w:b/>
              </w:rPr>
              <w:t>MKUO ProNatura ZP/TP/</w:t>
            </w:r>
            <w:r>
              <w:rPr>
                <w:b/>
              </w:rPr>
              <w:t>6</w:t>
            </w:r>
            <w:r w:rsidRPr="00F555EC">
              <w:rPr>
                <w:b/>
              </w:rPr>
              <w:t>/</w:t>
            </w:r>
            <w:r>
              <w:rPr>
                <w:b/>
              </w:rPr>
              <w:t>22</w:t>
            </w:r>
            <w:r>
              <w:rPr>
                <w:rFonts w:cs="Calibri"/>
                <w:b/>
                <w:iCs/>
                <w:lang w:eastAsia="ar-SA"/>
              </w:rPr>
              <w:fldChar w:fldCharType="end"/>
            </w:r>
          </w:p>
        </w:tc>
      </w:tr>
      <w:tr w:rsidR="009B2065" w:rsidRPr="00052DA8" w:rsidTr="009B2065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:rsidR="009B2065" w:rsidRDefault="009B2065" w:rsidP="009B206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9B2065" w:rsidRDefault="009B2065" w:rsidP="009B206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9B2065" w:rsidRPr="00052DA8" w:rsidTr="009B2065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9B2065" w:rsidRPr="00052DA8" w:rsidTr="009B2065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9B2065" w:rsidRPr="00052DA8" w:rsidTr="009B2065">
        <w:trPr>
          <w:trHeight w:val="3817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5" w:rsidRPr="00052DA8" w:rsidRDefault="009B2065" w:rsidP="009B2065">
            <w:pPr>
              <w:keepNext/>
              <w:keepLines/>
              <w:suppressAutoHyphens/>
              <w:spacing w:before="120" w:after="120" w:line="240" w:lineRule="auto"/>
              <w:contextualSpacing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Z postępowania o udzielenie zamówienia wyklucza się, z zastrzeżeniem art. 110 ust. 2 PZP, Wykonawcę: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będącego osobą fizyczną, którego prawomocnie skazano za przestępstwo:</w:t>
            </w:r>
          </w:p>
          <w:p w:rsidR="009B2065" w:rsidRPr="00052DA8" w:rsidRDefault="009B2065" w:rsidP="009B2065">
            <w:pPr>
              <w:keepNext/>
              <w:keepLines/>
              <w:numPr>
                <w:ilvl w:val="1"/>
                <w:numId w:val="6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9B2065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handlu ludźmi, o którym mowa w art. 189a Kodeksu karnego,</w:t>
            </w:r>
          </w:p>
          <w:p w:rsidR="009B2065" w:rsidRPr="00773D78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773D78">
              <w:rPr>
                <w:rFonts w:cs="Calibri"/>
                <w:sz w:val="21"/>
                <w:szCs w:val="21"/>
              </w:rPr>
              <w:t xml:space="preserve">o którym mowa w art. 228-230a, art. 250a Kodeksu karnego, w art. 46-48 ustawy </w:t>
            </w:r>
            <w:r>
              <w:rPr>
                <w:rFonts w:cs="Calibri"/>
                <w:sz w:val="21"/>
                <w:szCs w:val="21"/>
              </w:rPr>
              <w:br/>
            </w:r>
            <w:r w:rsidRPr="00773D78">
              <w:rPr>
                <w:rFonts w:cs="Calibri"/>
                <w:sz w:val="21"/>
                <w:szCs w:val="21"/>
              </w:rPr>
              <w:t>z dnia 25 czerwca 2010 r. o sporcie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773D78">
              <w:rPr>
                <w:rFonts w:cs="Calibri"/>
                <w:sz w:val="21"/>
                <w:szCs w:val="21"/>
              </w:rPr>
              <w:t>Dz. U. z 2020 r.</w:t>
            </w:r>
            <w:r>
              <w:rPr>
                <w:rFonts w:cs="Calibri"/>
                <w:sz w:val="21"/>
                <w:szCs w:val="21"/>
              </w:rPr>
              <w:t>,</w:t>
            </w:r>
            <w:r w:rsidRPr="00773D78">
              <w:rPr>
                <w:rFonts w:cs="Calibri"/>
                <w:sz w:val="21"/>
                <w:szCs w:val="21"/>
              </w:rPr>
              <w:t xml:space="preserve"> poz. 1133 </w:t>
            </w:r>
            <w:r>
              <w:rPr>
                <w:rFonts w:cs="Calibri"/>
                <w:sz w:val="21"/>
                <w:szCs w:val="21"/>
              </w:rPr>
              <w:t>ze zm.</w:t>
            </w:r>
            <w:r w:rsidRPr="00773D78">
              <w:rPr>
                <w:rFonts w:cs="Calibri"/>
                <w:sz w:val="21"/>
                <w:szCs w:val="21"/>
              </w:rPr>
              <w:t>) lub w art. 54 ust. 1-4 ustawy z dnia 12 maja 2011 r. o refundacji leków, środków spożywczych specjalnego przeznaczenia żywieniowego oraz wyrobów medycznych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773D78">
              <w:rPr>
                <w:rFonts w:cs="Calibri"/>
                <w:sz w:val="21"/>
                <w:szCs w:val="21"/>
              </w:rPr>
              <w:t>Dz. U. z 2021 r.</w:t>
            </w:r>
            <w:r>
              <w:rPr>
                <w:rFonts w:cs="Calibri"/>
                <w:sz w:val="21"/>
                <w:szCs w:val="21"/>
              </w:rPr>
              <w:t>,</w:t>
            </w:r>
            <w:r w:rsidRPr="00773D78">
              <w:rPr>
                <w:rFonts w:cs="Calibri"/>
                <w:sz w:val="21"/>
                <w:szCs w:val="21"/>
              </w:rPr>
              <w:t xml:space="preserve"> poz. 523</w:t>
            </w:r>
            <w:r>
              <w:rPr>
                <w:rFonts w:cs="Calibri"/>
                <w:sz w:val="21"/>
                <w:szCs w:val="21"/>
              </w:rPr>
              <w:t xml:space="preserve"> ze zm.</w:t>
            </w:r>
            <w:r w:rsidRPr="00773D78">
              <w:rPr>
                <w:rFonts w:cs="Calibri"/>
                <w:sz w:val="21"/>
                <w:szCs w:val="21"/>
              </w:rPr>
              <w:t>),</w:t>
            </w:r>
          </w:p>
          <w:p w:rsidR="009B2065" w:rsidRPr="00252715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pacing w:val="-4"/>
                <w:sz w:val="21"/>
                <w:szCs w:val="21"/>
              </w:rPr>
            </w:pPr>
            <w:r w:rsidRPr="00252715">
              <w:rPr>
                <w:rFonts w:cs="Calibri"/>
                <w:spacing w:val="-4"/>
                <w:sz w:val="21"/>
                <w:szCs w:val="21"/>
              </w:rPr>
              <w:t>finansowania przestępstwa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o charakterze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terrorystycznym,</w:t>
            </w:r>
            <w:r>
              <w:rPr>
                <w:rFonts w:cs="Calibri"/>
                <w:spacing w:val="-4"/>
                <w:sz w:val="21"/>
                <w:szCs w:val="21"/>
              </w:rPr>
              <w:t xml:space="preserve"> </w:t>
            </w:r>
            <w:r w:rsidRPr="00252715">
              <w:rPr>
                <w:rFonts w:cs="Calibri"/>
                <w:spacing w:val="-4"/>
                <w:sz w:val="21"/>
                <w:szCs w:val="21"/>
              </w:rPr>
              <w:t>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o charakterze terrorystycznym, o którym mowa w art. 115 § 20 Kodeksu karnego lub mające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na celu popełnienie tego przestępstwa,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powierzenia wykonywania pracy małoletniemu cudzoziemcowi, o którym mowa w art. 9 ust. 2 ustawy z dnia 15 czerwca 2012r. o skutkach powierzania wykonywania pracy cudzoziemcom przebywającym wbrew przepisom na terytorium Rzeczypospolitej Polskiej (</w:t>
            </w:r>
            <w:r>
              <w:rPr>
                <w:rFonts w:cs="Calibri"/>
                <w:sz w:val="21"/>
                <w:szCs w:val="21"/>
              </w:rPr>
              <w:t xml:space="preserve">t. jedn. </w:t>
            </w:r>
            <w:r w:rsidRPr="00052DA8">
              <w:rPr>
                <w:rFonts w:cs="Calibri"/>
                <w:sz w:val="21"/>
                <w:szCs w:val="21"/>
              </w:rPr>
              <w:t xml:space="preserve">Dz.U. </w:t>
            </w:r>
            <w:r>
              <w:rPr>
                <w:rFonts w:cs="Calibri"/>
                <w:sz w:val="21"/>
                <w:szCs w:val="21"/>
              </w:rPr>
              <w:t>z 2021r., poz. 1745 ze zm.</w:t>
            </w:r>
            <w:r w:rsidRPr="00052DA8">
              <w:rPr>
                <w:rFonts w:cs="Calibri"/>
                <w:sz w:val="21"/>
                <w:szCs w:val="21"/>
              </w:rPr>
              <w:t xml:space="preserve">), 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lub przestępstwo skarbowe,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6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ind w:left="595" w:hanging="238"/>
              <w:contextualSpacing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–lub za odpowiedni czyn zabroniony określony w przepisach prawa obcego.</w:t>
            </w:r>
          </w:p>
          <w:p w:rsidR="009B2065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jeżeli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urzędującego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członka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jego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organu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zarządzającego lub nadzorczego, wspólnika spółki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w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spółce jawnej lub partnerskiej albo komplementariusza współce komandytowej lub komandytowo-akcyjnej lub prokurenta prawomocnie skazano za przestępstwo, o którym mowa w pkt. 1)</w:t>
            </w:r>
          </w:p>
          <w:p w:rsidR="009B2065" w:rsidRDefault="009B2065" w:rsidP="009B2065">
            <w:pPr>
              <w:keepNext/>
              <w:keepLines/>
              <w:suppressAutoHyphens/>
              <w:spacing w:before="60"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9B2065" w:rsidRDefault="009B2065" w:rsidP="009B2065">
            <w:pPr>
              <w:keepNext/>
              <w:keepLines/>
              <w:suppressAutoHyphens/>
              <w:spacing w:before="60"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9B2065" w:rsidRDefault="009B2065" w:rsidP="009B2065">
            <w:pPr>
              <w:keepNext/>
              <w:keepLines/>
              <w:suppressAutoHyphens/>
              <w:spacing w:before="60"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9B2065" w:rsidRDefault="009B2065" w:rsidP="009B2065">
            <w:pPr>
              <w:keepNext/>
              <w:keepLines/>
              <w:suppressAutoHyphens/>
              <w:spacing w:before="60"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lastRenderedPageBreak/>
              <w:t>wobec którego wydano prawomocny wyrok sądu lub ostateczną decyzję administracyjną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lub grzywnami lub zawarł wiążące porozumienie w sprawie spłaty tych należności;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>wobec którego prawomocnie orzeczono zakaz ubiegania się o zamówienia publiczne;.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jeżeli zamawiający może stwierdzić, na podstawie wiarygodnych przesłanek, że wykonawca zawarł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z innymi wykonawcami porozumienie mające na celu zakłócenie konkurencji, w szczególności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jeżeli należąc do tej samej grupy kapitałowej w rozumieniu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ustawy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z dnia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16 lutego 2007r.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ochronie konkurencji i konsumentów, złożyli odrębne oferty, oferty częściowe lub wnioski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o dopuszczenie do udziału w postępowaniu, chyba że wykażą, że przygotowali te oferty lub wnioski niezależnie od siebie;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7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jeżeli, w przypadkach, o których mowa w art. 85 ust.1, doszło do zakłócenia konkurencji wynikającego z wcześniejszego zaangażowania tego wykonawcy lub podmiotu, który należy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z wykonawcą do tej samej grupy kapitałowej w rozumieniu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ustawy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z dnia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 xml:space="preserve">16 lutego 2007r.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 xml:space="preserve">o ochronie konkurencji i konsumentów, chyba że spowodowane tym zakłócenie konkurencji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może być wyeliminowane winny sposób niż przez wykluczenie wykonawcy z udziału w postępowaniu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052DA8">
              <w:rPr>
                <w:rFonts w:cs="Calibri"/>
                <w:sz w:val="21"/>
                <w:szCs w:val="21"/>
              </w:rPr>
              <w:t>o</w:t>
            </w:r>
            <w:r>
              <w:rPr>
                <w:rFonts w:cs="Calibri"/>
                <w:sz w:val="21"/>
                <w:szCs w:val="21"/>
              </w:rPr>
              <w:t> </w:t>
            </w:r>
            <w:r w:rsidRPr="00052DA8">
              <w:rPr>
                <w:rFonts w:cs="Calibri"/>
                <w:sz w:val="21"/>
                <w:szCs w:val="21"/>
              </w:rPr>
              <w:t>udzielenie zamówienia.</w:t>
            </w:r>
          </w:p>
          <w:p w:rsidR="009B2065" w:rsidRPr="00052DA8" w:rsidRDefault="009B2065" w:rsidP="009B2065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ar-SA"/>
              </w:rPr>
            </w:pPr>
            <w:r w:rsidRPr="00052DA8">
              <w:rPr>
                <w:rFonts w:eastAsia="Times New Roman" w:cs="Calibri"/>
                <w:sz w:val="21"/>
                <w:szCs w:val="21"/>
                <w:lang w:eastAsia="ar-SA"/>
              </w:rPr>
              <w:t xml:space="preserve">Zamawiający przewiduje wykluczenie Wykonawcy w następujących spośród przypadków, 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br/>
            </w:r>
            <w:r w:rsidRPr="00052DA8">
              <w:rPr>
                <w:rFonts w:eastAsia="Times New Roman" w:cs="Calibri"/>
                <w:sz w:val="21"/>
                <w:szCs w:val="21"/>
                <w:lang w:eastAsia="ar-SA"/>
              </w:rPr>
              <w:t>o których mowa w art. 109 ust. 1 PZP:</w:t>
            </w:r>
          </w:p>
          <w:p w:rsidR="009B2065" w:rsidRPr="00052DA8" w:rsidRDefault="009B2065" w:rsidP="009B2065">
            <w:pPr>
              <w:keepNext/>
              <w:keepLines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>
              <w:rPr>
                <w:rFonts w:cs="Calibri"/>
                <w:sz w:val="21"/>
                <w:szCs w:val="21"/>
              </w:rPr>
              <w:br/>
            </w:r>
            <w:r w:rsidRPr="00052DA8">
              <w:rPr>
                <w:rFonts w:cs="Calibri"/>
                <w:sz w:val="21"/>
                <w:szCs w:val="21"/>
              </w:rPr>
              <w:t>jest zawieszona albo znajduje się on w innej tego rodzaju sytuacji wynikającej z podobnej procedury przewidzianej w przepisach miejsc.</w:t>
            </w:r>
          </w:p>
          <w:p w:rsidR="009B2065" w:rsidRDefault="009B2065" w:rsidP="009B206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052DA8">
              <w:rPr>
                <w:rFonts w:cs="Calibri"/>
                <w:sz w:val="21"/>
                <w:szCs w:val="21"/>
              </w:rPr>
              <w:t xml:space="preserve">Wykonawca ubiegający się o przedmiotowe zamówienie musi spełniać również warunki udziału </w:t>
            </w:r>
            <w:r w:rsidRPr="00052DA8">
              <w:rPr>
                <w:rFonts w:cs="Calibri"/>
                <w:sz w:val="21"/>
                <w:szCs w:val="21"/>
              </w:rPr>
              <w:br/>
              <w:t>w postępowaniu dotyczące:</w:t>
            </w:r>
          </w:p>
          <w:p w:rsidR="009B2065" w:rsidRPr="00252715" w:rsidRDefault="009B2065" w:rsidP="009B2065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568" w:hanging="284"/>
              <w:jc w:val="both"/>
              <w:rPr>
                <w:rFonts w:eastAsia="Times New Roman" w:cs="Calibri"/>
                <w:lang w:val="x-none" w:eastAsia="ar-SA"/>
              </w:rPr>
            </w:pPr>
            <w:r w:rsidRPr="00052DA8">
              <w:rPr>
                <w:rFonts w:eastAsia="Times New Roman" w:cs="Calibri"/>
                <w:b/>
                <w:lang w:val="x-none" w:eastAsia="ar-SA"/>
              </w:rPr>
              <w:t>Zdolności do występowania w obrocie gospodarczym</w:t>
            </w:r>
          </w:p>
          <w:p w:rsidR="009B2065" w:rsidRDefault="009B2065" w:rsidP="009B2065">
            <w:pPr>
              <w:keepNext/>
              <w:keepLines/>
              <w:suppressAutoHyphens/>
              <w:spacing w:after="120" w:line="240" w:lineRule="auto"/>
              <w:ind w:left="567"/>
              <w:jc w:val="both"/>
              <w:rPr>
                <w:rFonts w:eastAsia="Times New Roman" w:cs="Calibri"/>
                <w:iCs/>
                <w:color w:val="000000"/>
                <w:lang w:val="x-none" w:eastAsia="ar-SA"/>
              </w:rPr>
            </w:pPr>
            <w:r w:rsidRPr="00052DA8">
              <w:rPr>
                <w:rFonts w:eastAsia="Times New Roman" w:cs="Calibri"/>
                <w:color w:val="000000"/>
                <w:lang w:val="x-none" w:eastAsia="ar-SA"/>
              </w:rPr>
              <w:t xml:space="preserve">Zamawiający nie stawia szczególnych </w:t>
            </w:r>
            <w:r w:rsidRPr="00052DA8">
              <w:rPr>
                <w:rFonts w:eastAsia="Times New Roman" w:cs="Calibri"/>
                <w:iCs/>
                <w:color w:val="000000"/>
                <w:lang w:val="x-none" w:eastAsia="ar-SA"/>
              </w:rPr>
              <w:t>wymagań</w:t>
            </w:r>
            <w:r w:rsidRPr="00052DA8">
              <w:rPr>
                <w:rFonts w:eastAsia="Times New Roman" w:cs="Calibri"/>
                <w:color w:val="000000"/>
                <w:lang w:val="x-none" w:eastAsia="ar-SA"/>
              </w:rPr>
              <w:t xml:space="preserve"> w tym zakresie.</w:t>
            </w:r>
            <w:r w:rsidRPr="00052DA8">
              <w:rPr>
                <w:rFonts w:eastAsia="Times New Roman" w:cs="Calibri"/>
                <w:iCs/>
                <w:color w:val="000000"/>
                <w:lang w:val="x-none" w:eastAsia="ar-SA"/>
              </w:rPr>
              <w:t xml:space="preserve"> </w:t>
            </w:r>
          </w:p>
          <w:p w:rsidR="009B2065" w:rsidRPr="00052DA8" w:rsidRDefault="009B2065" w:rsidP="009B2065">
            <w:pPr>
              <w:keepNext/>
              <w:keepLines/>
              <w:suppressAutoHyphens/>
              <w:spacing w:after="120" w:line="240" w:lineRule="auto"/>
              <w:ind w:left="567"/>
              <w:jc w:val="both"/>
              <w:rPr>
                <w:rFonts w:eastAsia="Times New Roman" w:cs="Calibri"/>
                <w:color w:val="000000"/>
                <w:lang w:val="x-none" w:eastAsia="ar-SA"/>
              </w:rPr>
            </w:pPr>
          </w:p>
          <w:p w:rsidR="009B2065" w:rsidRPr="00DB04DB" w:rsidRDefault="009B2065" w:rsidP="009B2065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568" w:hanging="284"/>
              <w:jc w:val="both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 xml:space="preserve">Uprawnień do prowadzenia określonej działalności gospodarczej lub zawodowej, </w:t>
            </w:r>
            <w:r w:rsidRPr="00DB04DB">
              <w:rPr>
                <w:rFonts w:eastAsia="Times New Roman" w:cs="Calibri"/>
                <w:b/>
                <w:lang w:val="x-none" w:eastAsia="ar-SA"/>
              </w:rPr>
              <w:br/>
              <w:t>o ile wynika to z odrębnych przepisów</w:t>
            </w:r>
          </w:p>
          <w:p w:rsidR="009B2065" w:rsidRDefault="009B2065" w:rsidP="009B206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Calibri"/>
                <w:lang w:val="x-none" w:eastAsia="ar-SA"/>
              </w:rPr>
            </w:pPr>
            <w:r w:rsidRPr="00052DA8">
              <w:rPr>
                <w:rFonts w:eastAsia="Times New Roman" w:cs="Calibri"/>
                <w:lang w:val="x-none" w:eastAsia="ar-SA"/>
              </w:rPr>
              <w:t>Zamawiający nie stawia szczególnych wymagań w tym zakresie</w:t>
            </w:r>
          </w:p>
          <w:p w:rsidR="009B2065" w:rsidRPr="00052DA8" w:rsidRDefault="009B2065" w:rsidP="009B206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Calibri"/>
                <w:lang w:val="x-none" w:eastAsia="ar-SA"/>
              </w:rPr>
            </w:pPr>
          </w:p>
          <w:p w:rsidR="009B2065" w:rsidRPr="00DB04DB" w:rsidRDefault="009B2065" w:rsidP="009B2065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568" w:hanging="284"/>
              <w:jc w:val="both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>Sytuacji ekonomicznej i finansowej</w:t>
            </w:r>
          </w:p>
          <w:p w:rsidR="009B2065" w:rsidRDefault="009B2065" w:rsidP="009B206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Calibri"/>
                <w:lang w:val="x-none" w:eastAsia="ar-SA"/>
              </w:rPr>
            </w:pPr>
            <w:r w:rsidRPr="00052DA8">
              <w:rPr>
                <w:rFonts w:eastAsia="Times New Roman" w:cs="Calibri"/>
                <w:lang w:val="x-none" w:eastAsia="ar-SA"/>
              </w:rPr>
              <w:t>Zamawiający nie stawia szczególnych wymagań w tym zakresie</w:t>
            </w:r>
          </w:p>
          <w:p w:rsidR="009B2065" w:rsidRPr="00052DA8" w:rsidRDefault="009B2065" w:rsidP="009B206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rFonts w:eastAsia="Times New Roman" w:cs="Calibri"/>
                <w:lang w:val="x-none" w:eastAsia="ar-SA"/>
              </w:rPr>
            </w:pPr>
          </w:p>
          <w:p w:rsidR="009B2065" w:rsidRPr="00DB04DB" w:rsidRDefault="009B2065" w:rsidP="009B2065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568" w:hanging="284"/>
              <w:jc w:val="both"/>
              <w:rPr>
                <w:rFonts w:eastAsia="Times New Roman" w:cs="Calibri"/>
                <w:b/>
                <w:lang w:val="x-none" w:eastAsia="ar-SA"/>
              </w:rPr>
            </w:pPr>
            <w:r w:rsidRPr="00DB04DB">
              <w:rPr>
                <w:rFonts w:eastAsia="Times New Roman" w:cs="Calibri"/>
                <w:b/>
                <w:lang w:val="x-none" w:eastAsia="ar-SA"/>
              </w:rPr>
              <w:t>Zdolności technicznej lub zawodowej</w:t>
            </w:r>
          </w:p>
          <w:p w:rsidR="009B2065" w:rsidRPr="00EA1231" w:rsidRDefault="009B2065" w:rsidP="009B2065">
            <w:pPr>
              <w:pStyle w:val="Tekstpodstawowywcity23"/>
              <w:keepNext/>
              <w:keepLines/>
              <w:spacing w:before="60"/>
              <w:ind w:left="1352" w:firstLine="0"/>
              <w:rPr>
                <w:rFonts w:ascii="Calibri" w:hAnsi="Calibri"/>
                <w:sz w:val="22"/>
                <w:szCs w:val="22"/>
              </w:rPr>
            </w:pPr>
            <w:r w:rsidRPr="00EA1231">
              <w:rPr>
                <w:rFonts w:ascii="Calibri" w:hAnsi="Calibri"/>
                <w:sz w:val="22"/>
                <w:szCs w:val="22"/>
              </w:rPr>
              <w:t>Na potwierdzenie spełniania ww. warunku Wykonawca ubiegający się o zamówienie musi wykazać się:</w:t>
            </w:r>
          </w:p>
          <w:p w:rsidR="009B2065" w:rsidRDefault="009B2065" w:rsidP="009B2065">
            <w:pPr>
              <w:numPr>
                <w:ilvl w:val="0"/>
                <w:numId w:val="10"/>
              </w:numPr>
              <w:tabs>
                <w:tab w:val="left" w:pos="567"/>
              </w:tabs>
              <w:suppressAutoHyphens/>
              <w:spacing w:after="0" w:line="240" w:lineRule="auto"/>
              <w:ind w:left="1701" w:hanging="425"/>
              <w:jc w:val="both"/>
            </w:pPr>
            <w:r>
              <w:t>składając ofertę na Część I – opony przemysłowe wykazać się:</w:t>
            </w:r>
          </w:p>
          <w:p w:rsidR="009B2065" w:rsidRDefault="009B2065" w:rsidP="009B2065">
            <w:pPr>
              <w:tabs>
                <w:tab w:val="left" w:pos="567"/>
              </w:tabs>
              <w:suppressAutoHyphens/>
              <w:spacing w:after="0" w:line="240" w:lineRule="auto"/>
              <w:ind w:left="1985" w:hanging="284"/>
              <w:jc w:val="both"/>
            </w:pPr>
            <w:r w:rsidRPr="00F555EC">
              <w:t>-</w:t>
            </w:r>
            <w:r>
              <w:tab/>
            </w:r>
            <w:r w:rsidRPr="00771BD9">
              <w:t xml:space="preserve">Na potwierdzenie spełniania ww. warunku Wykonawca ubiegający się </w:t>
            </w:r>
            <w:r>
              <w:br/>
            </w:r>
            <w:r w:rsidRPr="00771BD9">
              <w:t xml:space="preserve">o zamówienie musi wykazać się wykonaniem minimum 2 dostaw nowych opon przemysłowych, o wartości dostaw min. </w:t>
            </w:r>
            <w:r w:rsidRPr="00252715">
              <w:t>100 000,00</w:t>
            </w:r>
            <w:r w:rsidRPr="00771BD9">
              <w:t xml:space="preserve"> zł każda</w:t>
            </w:r>
            <w:r>
              <w:t xml:space="preserve"> </w:t>
            </w:r>
            <w:r w:rsidRPr="00D66A85">
              <w:t>wykonanych, a w przypadku świadczeń powtarzających się lub ciągłych również wykonywanych, w okresie ostatnich 3 lat, a jeżeli okres prowadzenia działalności jest krótszy – w tym okresie</w:t>
            </w:r>
            <w:r>
              <w:t xml:space="preserve">. </w:t>
            </w:r>
          </w:p>
          <w:p w:rsidR="009B2065" w:rsidRDefault="009B2065" w:rsidP="009B2065">
            <w:pPr>
              <w:tabs>
                <w:tab w:val="left" w:pos="567"/>
              </w:tabs>
              <w:suppressAutoHyphens/>
              <w:spacing w:after="0" w:line="240" w:lineRule="auto"/>
              <w:ind w:left="1985"/>
              <w:jc w:val="both"/>
            </w:pPr>
            <w:r w:rsidRPr="00D66A85">
              <w:t xml:space="preserve">Za jedną dostawę Zamawiający uznaje również dostawy zrealizowane </w:t>
            </w:r>
            <w:r>
              <w:br/>
            </w:r>
            <w:r w:rsidRPr="00D66A85">
              <w:t xml:space="preserve">dla jednego odbiorcy w okresie max. 12 miesięcy na podstawie jednej umowy. Warunek oceniony zostanie na podstawie złożonego oświadczenia </w:t>
            </w:r>
            <w:r>
              <w:br/>
            </w:r>
            <w:r w:rsidRPr="00D66A85">
              <w:t>i dokumentów.</w:t>
            </w:r>
          </w:p>
          <w:p w:rsidR="009B2065" w:rsidRDefault="009B2065" w:rsidP="009B2065">
            <w:pPr>
              <w:tabs>
                <w:tab w:val="left" w:pos="567"/>
              </w:tabs>
              <w:suppressAutoHyphens/>
              <w:spacing w:after="0" w:line="240" w:lineRule="auto"/>
              <w:ind w:left="1985"/>
              <w:jc w:val="both"/>
            </w:pPr>
            <w:bookmarkStart w:id="1" w:name="_GoBack"/>
            <w:bookmarkEnd w:id="1"/>
          </w:p>
          <w:p w:rsidR="009B2065" w:rsidRDefault="009B2065" w:rsidP="009B2065">
            <w:pPr>
              <w:numPr>
                <w:ilvl w:val="0"/>
                <w:numId w:val="10"/>
              </w:numPr>
              <w:tabs>
                <w:tab w:val="left" w:pos="567"/>
              </w:tabs>
              <w:suppressAutoHyphens/>
              <w:spacing w:after="0" w:line="240" w:lineRule="auto"/>
              <w:ind w:left="1701" w:hanging="425"/>
              <w:jc w:val="both"/>
            </w:pPr>
            <w:r>
              <w:lastRenderedPageBreak/>
              <w:t>składając ofertę na Część II – opony ciężarowe i dostawcze wykazać się:</w:t>
            </w:r>
          </w:p>
          <w:p w:rsidR="009B2065" w:rsidRDefault="009B2065" w:rsidP="009B2065">
            <w:pPr>
              <w:tabs>
                <w:tab w:val="left" w:pos="567"/>
              </w:tabs>
              <w:suppressAutoHyphens/>
              <w:spacing w:after="0" w:line="240" w:lineRule="auto"/>
              <w:ind w:left="1985" w:hanging="284"/>
              <w:jc w:val="both"/>
            </w:pPr>
            <w:r>
              <w:t xml:space="preserve">- </w:t>
            </w:r>
            <w:r w:rsidRPr="00771BD9">
              <w:t xml:space="preserve">Na potwierdzenie spełniania ww. warunku Wykonawca ubiegający się </w:t>
            </w:r>
            <w:r>
              <w:br/>
            </w:r>
            <w:r w:rsidRPr="00771BD9">
              <w:t>o zamówienie musi wykazać się wykonaniem minimum 2 dostaw nowych opon do samochodów ciężarowych</w:t>
            </w:r>
            <w:r>
              <w:t xml:space="preserve"> i dostawczych</w:t>
            </w:r>
            <w:r w:rsidRPr="00771BD9">
              <w:t xml:space="preserve">, o wartości dostaw </w:t>
            </w:r>
            <w:r>
              <w:br/>
            </w:r>
            <w:r w:rsidRPr="00771BD9">
              <w:t xml:space="preserve">min. </w:t>
            </w:r>
            <w:r w:rsidRPr="00252715">
              <w:t>400 000,00</w:t>
            </w:r>
            <w:r w:rsidRPr="00771BD9">
              <w:t xml:space="preserve"> zł każda</w:t>
            </w:r>
            <w:r>
              <w:t xml:space="preserve"> </w:t>
            </w:r>
            <w:r w:rsidRPr="00D66A85">
              <w:t>wykonanych, a w przypadku świadczeń powtarzających się lub ciągłych również wykonywanych, w okresie ostatnich 3 lat, a jeżeli okres prowadzenia działalności jest krótszy – w tym okresie</w:t>
            </w:r>
            <w:r>
              <w:t>.</w:t>
            </w:r>
          </w:p>
          <w:p w:rsidR="009B2065" w:rsidRDefault="009B2065" w:rsidP="009B2065">
            <w:pPr>
              <w:tabs>
                <w:tab w:val="left" w:pos="567"/>
              </w:tabs>
              <w:suppressAutoHyphens/>
              <w:spacing w:after="0" w:line="240" w:lineRule="auto"/>
              <w:ind w:left="1985"/>
              <w:jc w:val="both"/>
            </w:pPr>
            <w:r w:rsidRPr="00D66A85">
              <w:t xml:space="preserve">Za jedną dostawę Zamawiający uznaje również dostawy zrealizowane </w:t>
            </w:r>
            <w:r>
              <w:br/>
            </w:r>
            <w:r w:rsidRPr="00D66A85">
              <w:t xml:space="preserve">dla jednego odbiorcy w okresie max. 12 miesięcy na podstawie jednej umowy. Warunek oceniony zostanie na podstawie złożonego oświadczenia </w:t>
            </w:r>
            <w:r>
              <w:br/>
            </w:r>
            <w:r w:rsidRPr="00D66A85">
              <w:t>i dokumentów.</w:t>
            </w:r>
            <w:r w:rsidRPr="00D66A85" w:rsidDel="00771BD9">
              <w:t xml:space="preserve"> </w:t>
            </w:r>
          </w:p>
          <w:p w:rsidR="009B2065" w:rsidRDefault="009B2065" w:rsidP="009B2065">
            <w:pPr>
              <w:numPr>
                <w:ilvl w:val="0"/>
                <w:numId w:val="10"/>
              </w:numPr>
              <w:tabs>
                <w:tab w:val="left" w:pos="567"/>
              </w:tabs>
              <w:suppressAutoHyphens/>
              <w:spacing w:after="0" w:line="240" w:lineRule="auto"/>
              <w:ind w:left="1701" w:hanging="425"/>
              <w:jc w:val="both"/>
            </w:pPr>
            <w:r>
              <w:t>składając ofertę na obie części zamówienia Wykonawca musi wykazać spełnienie warunków dla każdej z części.</w:t>
            </w:r>
          </w:p>
          <w:p w:rsidR="009B2065" w:rsidRPr="00052DA8" w:rsidRDefault="009B2065" w:rsidP="009B2065">
            <w:pPr>
              <w:keepNext/>
              <w:keepLines/>
              <w:suppressAutoHyphens/>
              <w:spacing w:after="0" w:line="240" w:lineRule="auto"/>
              <w:ind w:left="321"/>
              <w:jc w:val="both"/>
              <w:rPr>
                <w:rFonts w:eastAsia="Times New Roman" w:cs="Calibri"/>
                <w:sz w:val="21"/>
                <w:szCs w:val="21"/>
                <w:lang w:eastAsia="ar-SA"/>
              </w:rPr>
            </w:pPr>
          </w:p>
        </w:tc>
      </w:tr>
    </w:tbl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Default="009B2065" w:rsidP="009B2065">
      <w:pPr>
        <w:suppressAutoHyphens/>
        <w:spacing w:after="0" w:line="240" w:lineRule="auto"/>
        <w:jc w:val="both"/>
        <w:rPr>
          <w:sz w:val="16"/>
        </w:rPr>
      </w:pPr>
    </w:p>
    <w:p w:rsidR="009B2065" w:rsidRPr="003671DD" w:rsidRDefault="009B2065" w:rsidP="009B2065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9B2065" w:rsidRPr="00984F9B" w:rsidRDefault="009B2065" w:rsidP="009B2065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D4715C" w:rsidRPr="009B2065" w:rsidRDefault="00D4715C" w:rsidP="009B2065"/>
    <w:sectPr w:rsidR="00D4715C" w:rsidRPr="009B2065" w:rsidSect="009B2065">
      <w:headerReference w:type="default" r:id="rId7"/>
      <w:footerReference w:type="default" r:id="rId8"/>
      <w:pgSz w:w="11906" w:h="16838" w:code="9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80" w:rsidRDefault="00702A80" w:rsidP="00E05DD8">
      <w:pPr>
        <w:spacing w:after="0" w:line="240" w:lineRule="auto"/>
      </w:pPr>
      <w:r>
        <w:separator/>
      </w:r>
    </w:p>
  </w:endnote>
  <w:endnote w:type="continuationSeparator" w:id="0">
    <w:p w:rsidR="00702A80" w:rsidRDefault="00702A80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Default="00E05DD8" w:rsidP="00E05DD8">
    <w:pPr>
      <w:suppressAutoHyphen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 w:rsidRPr="00BC743F">
      <w:rPr>
        <w:color w:val="7F7F7F" w:themeColor="text1" w:themeTint="80"/>
        <w:sz w:val="20"/>
      </w:rPr>
      <w:t xml:space="preserve">Strona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PAGE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9B2065">
      <w:rPr>
        <w:b/>
        <w:bCs/>
        <w:noProof/>
        <w:color w:val="7F7F7F" w:themeColor="text1" w:themeTint="80"/>
        <w:sz w:val="20"/>
      </w:rPr>
      <w:t>3</w:t>
    </w:r>
    <w:r w:rsidRPr="00BC743F">
      <w:rPr>
        <w:b/>
        <w:bCs/>
        <w:color w:val="7F7F7F" w:themeColor="text1" w:themeTint="80"/>
        <w:sz w:val="20"/>
      </w:rPr>
      <w:fldChar w:fldCharType="end"/>
    </w:r>
    <w:r w:rsidRPr="00BC743F">
      <w:rPr>
        <w:color w:val="7F7F7F" w:themeColor="text1" w:themeTint="80"/>
        <w:sz w:val="20"/>
      </w:rPr>
      <w:t xml:space="preserve"> z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NUMPAGES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9B2065">
      <w:rPr>
        <w:b/>
        <w:bCs/>
        <w:noProof/>
        <w:color w:val="7F7F7F" w:themeColor="text1" w:themeTint="80"/>
        <w:sz w:val="20"/>
      </w:rPr>
      <w:t>3</w:t>
    </w:r>
    <w:r w:rsidRPr="00BC743F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80" w:rsidRDefault="00702A80" w:rsidP="00E05DD8">
      <w:pPr>
        <w:spacing w:after="0" w:line="240" w:lineRule="auto"/>
      </w:pPr>
      <w:r>
        <w:separator/>
      </w:r>
    </w:p>
  </w:footnote>
  <w:footnote w:type="continuationSeparator" w:id="0">
    <w:p w:rsidR="00702A80" w:rsidRDefault="00702A80" w:rsidP="00E05DD8">
      <w:pPr>
        <w:spacing w:after="0" w:line="240" w:lineRule="auto"/>
      </w:pPr>
      <w:r>
        <w:continuationSeparator/>
      </w:r>
    </w:p>
  </w:footnote>
  <w:footnote w:id="1">
    <w:p w:rsidR="009B2065" w:rsidRPr="006000BD" w:rsidRDefault="009B2065" w:rsidP="009B2065">
      <w:pPr>
        <w:pStyle w:val="Tekstprzypisudolnego"/>
        <w:jc w:val="both"/>
        <w:rPr>
          <w:rFonts w:cs="Calibri"/>
          <w:sz w:val="16"/>
          <w:szCs w:val="16"/>
        </w:rPr>
      </w:pPr>
      <w:r w:rsidRPr="006000BD">
        <w:rPr>
          <w:rStyle w:val="Odwoanieprzypisudolnego"/>
          <w:rFonts w:cs="Calibri"/>
          <w:sz w:val="16"/>
          <w:szCs w:val="16"/>
        </w:rPr>
        <w:footnoteRef/>
      </w:r>
      <w:r w:rsidRPr="006000BD">
        <w:rPr>
          <w:rFonts w:cs="Calibri"/>
          <w:sz w:val="16"/>
          <w:szCs w:val="16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Pr="00E82576" w:rsidRDefault="00E05DD8" w:rsidP="00E05DD8">
    <w:pPr>
      <w:pStyle w:val="Nagwek"/>
      <w:jc w:val="right"/>
      <w:rPr>
        <w:color w:val="7F7F7F"/>
        <w:sz w:val="20"/>
      </w:rPr>
    </w:pPr>
    <w:r w:rsidRPr="00E2347E">
      <w:rPr>
        <w:rFonts w:cs="Calibri"/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149860</wp:posOffset>
              </wp:positionV>
              <wp:extent cx="5831840" cy="0"/>
              <wp:effectExtent l="5715" t="13335" r="10795" b="5715"/>
              <wp:wrapTight wrapText="bothSides">
                <wp:wrapPolygon edited="0">
                  <wp:start x="0" y="-2147483648"/>
                  <wp:lineTo x="0" y="-2147483648"/>
                  <wp:lineTo x="614" y="-2147483648"/>
                  <wp:lineTo x="614" y="-2147483648"/>
                  <wp:lineTo x="0" y="-2147483648"/>
                </wp:wrapPolygon>
              </wp:wrapTight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8AFC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8pt;margin-top:11.8pt;width:459.2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">
              <w10:wrap type="tight"/>
            </v:shape>
          </w:pict>
        </mc:Fallback>
      </mc:AlternateContent>
    </w:r>
    <w:r w:rsidRPr="00E2347E">
      <w:rPr>
        <w:rFonts w:cs="Calibri"/>
        <w:color w:val="7F7F7F"/>
        <w:sz w:val="20"/>
        <w:szCs w:val="20"/>
      </w:rPr>
      <w:fldChar w:fldCharType="begin"/>
    </w:r>
    <w:r w:rsidRPr="00E2347E">
      <w:rPr>
        <w:rFonts w:cs="Calibri"/>
        <w:color w:val="7F7F7F"/>
        <w:sz w:val="20"/>
        <w:szCs w:val="20"/>
      </w:rPr>
      <w:instrText xml:space="preserve"> REF Nr_referencyjny \h </w:instrText>
    </w:r>
    <w:r w:rsidRPr="00E2347E">
      <w:rPr>
        <w:rFonts w:cs="Calibri"/>
        <w:color w:val="7F7F7F"/>
        <w:sz w:val="20"/>
        <w:szCs w:val="20"/>
      </w:rPr>
    </w:r>
    <w:r w:rsidRPr="00E2347E">
      <w:rPr>
        <w:rFonts w:cs="Calibri"/>
        <w:color w:val="7F7F7F"/>
        <w:sz w:val="20"/>
        <w:szCs w:val="20"/>
      </w:rPr>
      <w:instrText xml:space="preserve"> \* MERGEFORMAT </w:instrText>
    </w:r>
    <w:r w:rsidRPr="00E2347E">
      <w:rPr>
        <w:rFonts w:cs="Calibri"/>
        <w:color w:val="7F7F7F"/>
        <w:sz w:val="20"/>
        <w:szCs w:val="20"/>
      </w:rPr>
      <w:fldChar w:fldCharType="separate"/>
    </w:r>
    <w:r w:rsidRPr="00010446">
      <w:rPr>
        <w:rFonts w:cs="Calibri"/>
        <w:b/>
        <w:color w:val="7F7F7F"/>
        <w:sz w:val="20"/>
        <w:szCs w:val="20"/>
      </w:rPr>
      <w:t>MKUO ProNatura ZP/TP/6/22</w:t>
    </w:r>
    <w:r w:rsidRPr="00E2347E">
      <w:rPr>
        <w:rFonts w:cs="Calibri"/>
        <w:color w:val="7F7F7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C61"/>
    <w:multiLevelType w:val="hybridMultilevel"/>
    <w:tmpl w:val="9C3AC4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0165CD7"/>
    <w:multiLevelType w:val="hybridMultilevel"/>
    <w:tmpl w:val="FC8C2F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1723CE"/>
    <w:rsid w:val="001B5B3D"/>
    <w:rsid w:val="001E414C"/>
    <w:rsid w:val="00702A80"/>
    <w:rsid w:val="009B2065"/>
    <w:rsid w:val="00B708B1"/>
    <w:rsid w:val="00C270F7"/>
    <w:rsid w:val="00D4715C"/>
    <w:rsid w:val="00D723B4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F9C32-4420-4426-8137-8A3D145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D8"/>
    <w:pPr>
      <w:spacing w:after="160" w:line="259" w:lineRule="auto"/>
    </w:pPr>
    <w:rPr>
      <w:rFonts w:eastAsia="Calibri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link w:val="Nagwek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9B206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2022-01-24T10:38:00Z</dcterms:created>
  <dcterms:modified xsi:type="dcterms:W3CDTF">2022-01-24T10:38:00Z</dcterms:modified>
</cp:coreProperties>
</file>