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85" w:rsidRPr="00CC5D91" w:rsidRDefault="00881D85" w:rsidP="00CC5D91">
      <w:pPr>
        <w:spacing w:line="360" w:lineRule="auto"/>
        <w:ind w:left="426"/>
        <w:jc w:val="right"/>
        <w:rPr>
          <w:rFonts w:asciiTheme="minorHAnsi" w:hAnsiTheme="minorHAnsi" w:cstheme="majorHAnsi"/>
          <w:b/>
          <w:bCs/>
        </w:rPr>
      </w:pPr>
      <w:bookmarkStart w:id="0" w:name="_GoBack"/>
      <w:bookmarkEnd w:id="0"/>
      <w:r w:rsidRPr="00CC5D91">
        <w:rPr>
          <w:rFonts w:asciiTheme="minorHAnsi" w:hAnsiTheme="minorHAnsi" w:cstheme="majorHAnsi"/>
          <w:b/>
          <w:bCs/>
        </w:rPr>
        <w:t>Załącznik nr 1 do SWZ</w:t>
      </w:r>
    </w:p>
    <w:p w:rsidR="00881D85" w:rsidRPr="00CC5D91" w:rsidRDefault="00881D85" w:rsidP="00CC5D91">
      <w:pPr>
        <w:spacing w:line="360" w:lineRule="auto"/>
        <w:jc w:val="center"/>
        <w:rPr>
          <w:rFonts w:asciiTheme="minorHAnsi" w:hAnsiTheme="minorHAnsi" w:cstheme="majorHAnsi"/>
          <w:b/>
          <w:bCs/>
        </w:rPr>
      </w:pPr>
      <w:r w:rsidRPr="00CC5D91">
        <w:rPr>
          <w:rFonts w:asciiTheme="minorHAnsi" w:hAnsiTheme="minorHAnsi" w:cstheme="majorHAnsi"/>
          <w:b/>
          <w:bCs/>
        </w:rPr>
        <w:t>Opis Przedmiotu Zamówienia (dalej: OPZ)</w:t>
      </w:r>
    </w:p>
    <w:p w:rsidR="00881D85" w:rsidRPr="00CC5D91" w:rsidRDefault="00881D85" w:rsidP="00CC5D91">
      <w:pPr>
        <w:spacing w:line="360" w:lineRule="auto"/>
        <w:jc w:val="center"/>
        <w:rPr>
          <w:rFonts w:asciiTheme="minorHAnsi" w:hAnsiTheme="minorHAnsi" w:cstheme="majorHAnsi"/>
          <w:b/>
        </w:rPr>
      </w:pPr>
      <w:r w:rsidRPr="00CC5D91">
        <w:rPr>
          <w:rFonts w:asciiTheme="minorHAnsi" w:hAnsiTheme="minorHAnsi" w:cstheme="majorHAnsi"/>
          <w:b/>
        </w:rPr>
        <w:t>SPECYFIKACJA TECHNICZNA SAMOCHODU CIĘŻAROWEGO SKRZYNIOWEGO.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334"/>
      </w:tblGrid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WARUNKI ZAMAWIAJĄCEGO</w:t>
            </w:r>
          </w:p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DOTYCZĄCE POJAZDU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Rok produkcji:</w:t>
            </w:r>
            <w:r w:rsidRPr="00CC5D91">
              <w:rPr>
                <w:rFonts w:asciiTheme="minorHAnsi" w:hAnsiTheme="minorHAnsi" w:cs="Times New Roman"/>
              </w:rPr>
              <w:t xml:space="preserve"> 2023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Silnik wysokoprężny:</w:t>
            </w:r>
            <w:r w:rsidRPr="00CC5D91">
              <w:rPr>
                <w:rFonts w:asciiTheme="minorHAnsi" w:hAnsiTheme="minorHAnsi" w:cs="Times New Roman"/>
              </w:rPr>
              <w:t xml:space="preserve"> 4 cylindrowy, rzędowy, chłodzony cieczą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Pojemność skokowa</w:t>
            </w:r>
            <w:r w:rsidRPr="00CC5D91">
              <w:rPr>
                <w:rFonts w:asciiTheme="minorHAnsi" w:hAnsiTheme="minorHAnsi" w:cs="Times New Roman"/>
              </w:rPr>
              <w:t>: 1990 - 3200 cm</w:t>
            </w:r>
            <w:r w:rsidRPr="00CC5D91">
              <w:rPr>
                <w:rFonts w:asciiTheme="minorHAnsi" w:hAnsiTheme="minorHAnsi" w:cs="Times New Roman"/>
                <w:vertAlign w:val="superscript"/>
              </w:rPr>
              <w:t>3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Moc:</w:t>
            </w:r>
            <w:r w:rsidRPr="00CC5D91">
              <w:rPr>
                <w:rFonts w:asciiTheme="minorHAnsi" w:hAnsiTheme="minorHAnsi" w:cs="Times New Roman"/>
              </w:rPr>
              <w:t xml:space="preserve"> min 130 KM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Norma emisji spalin: </w:t>
            </w:r>
            <w:r w:rsidRPr="00CC5D91">
              <w:rPr>
                <w:rFonts w:asciiTheme="minorHAnsi" w:hAnsiTheme="minorHAnsi" w:cs="Times New Roman"/>
                <w:bCs/>
              </w:rPr>
              <w:t>min</w:t>
            </w:r>
            <w:r w:rsidRPr="00CC5D91">
              <w:rPr>
                <w:rFonts w:asciiTheme="minorHAnsi" w:hAnsiTheme="minorHAnsi" w:cs="Times New Roman"/>
                <w:b/>
              </w:rPr>
              <w:t xml:space="preserve"> </w:t>
            </w:r>
            <w:r w:rsidRPr="00CC5D91">
              <w:rPr>
                <w:rFonts w:asciiTheme="minorHAnsi" w:hAnsiTheme="minorHAnsi" w:cs="Times New Roman"/>
              </w:rPr>
              <w:t>EURO 6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Dopuszczalna masa całkowita:</w:t>
            </w:r>
            <w:r w:rsidRPr="00CC5D91">
              <w:rPr>
                <w:rFonts w:asciiTheme="minorHAnsi" w:hAnsiTheme="minorHAnsi" w:cs="Times New Roman"/>
              </w:rPr>
              <w:t xml:space="preserve"> do 3500kg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Ładowność z wywrotką:</w:t>
            </w:r>
            <w:r w:rsidRPr="00CC5D91">
              <w:rPr>
                <w:rFonts w:asciiTheme="minorHAnsi" w:hAnsiTheme="minorHAnsi" w:cs="Times New Roman"/>
              </w:rPr>
              <w:t xml:space="preserve"> min 1000kg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Kabina</w:t>
            </w:r>
            <w:r w:rsidRPr="00CC5D91">
              <w:rPr>
                <w:rFonts w:asciiTheme="minorHAnsi" w:hAnsiTheme="minorHAnsi" w:cs="Times New Roman"/>
              </w:rPr>
              <w:t>: kolor: biały. Zabezpieczenie antykorozyjne nadwozia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Zbiornik paliwa</w:t>
            </w:r>
            <w:r w:rsidRPr="00CC5D91">
              <w:rPr>
                <w:rFonts w:asciiTheme="minorHAnsi" w:hAnsiTheme="minorHAnsi" w:cs="Times New Roman"/>
              </w:rPr>
              <w:t>: min 50 litrów z korkiem wlewu paliwa zamykanym na klucz.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Fotele</w:t>
            </w:r>
            <w:r w:rsidRPr="00CC5D91">
              <w:rPr>
                <w:rFonts w:asciiTheme="minorHAnsi" w:hAnsiTheme="minorHAnsi" w:cs="Times New Roman"/>
              </w:rPr>
              <w:t xml:space="preserve"> z regulowanymi zagłówkami: 3 miejsca w kabinie (kierowca + 2 pasażerów). Siedzenia pokryte materiałem łatwo zmywalnym, odpornym na rozdarcie i ścieranie 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Bezwładnościowe 3 punktowe pasy bezpieczeństwa </w:t>
            </w:r>
            <w:r w:rsidRPr="00CC5D91">
              <w:rPr>
                <w:rFonts w:asciiTheme="minorHAnsi" w:hAnsiTheme="minorHAnsi" w:cs="Times New Roman"/>
              </w:rPr>
              <w:t>z napinaczami przy fotelach w kabinie (dopuszczalne 2 punktowe pasy dla środkowego pasażera)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Układ hamulcowy: </w:t>
            </w:r>
            <w:r w:rsidRPr="00CC5D91">
              <w:rPr>
                <w:rFonts w:asciiTheme="minorHAnsi" w:hAnsiTheme="minorHAnsi" w:cs="Times New Roman"/>
              </w:rPr>
              <w:t>hamulce tarczowe obu osi. Hamulec postojowy realizowany przez zaciski tylnej osi. ESP, ABS.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Układ kierowniczy</w:t>
            </w:r>
            <w:r w:rsidRPr="00CC5D91">
              <w:rPr>
                <w:rFonts w:asciiTheme="minorHAnsi" w:hAnsiTheme="minorHAnsi" w:cs="Times New Roman"/>
              </w:rPr>
              <w:t xml:space="preserve"> ze wspomaganiem, wyposażony w fabrycznie montowaną kierownicę po lewej stronie pojazdu, fabrycznie przystosowany do ruchu prawostronnego. Nie przerabiany, oryginalny.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Koła: </w:t>
            </w:r>
            <w:r w:rsidRPr="00CC5D91">
              <w:rPr>
                <w:rFonts w:asciiTheme="minorHAnsi" w:hAnsiTheme="minorHAnsi" w:cs="Times New Roman"/>
              </w:rPr>
              <w:t>na felgach stalowych R16, z zamontowanym pełnowymiarowym kołem zapasowym. Opony klasy Michelin lub Goodyear. Pojazd powinien mieć zamontowane opony zimowe. Do pojazdu należy dołączyć komplet pełnowymiarowych opon letnich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Wentylacja i ogrzewanie:</w:t>
            </w:r>
            <w:r w:rsidRPr="00CC5D91">
              <w:rPr>
                <w:rFonts w:asciiTheme="minorHAnsi" w:hAnsiTheme="minorHAnsi" w:cs="Times New Roman"/>
              </w:rPr>
              <w:t xml:space="preserve"> Wymuszony nawiew powietrza z możliwością ustawienia kierunków i prędkości. Płynna regulacja temperatury oraz obiegu wewnętrznego. Klimatyzacja.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Centralny zamek z pilotem.</w:t>
            </w:r>
            <w:r w:rsidRPr="00CC5D91">
              <w:rPr>
                <w:rFonts w:asciiTheme="minorHAnsi" w:hAnsiTheme="minorHAnsi" w:cs="Times New Roman"/>
              </w:rPr>
              <w:t xml:space="preserve"> 2 kluczyki w komplecie.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Immobiliser fabryczny.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Poduszka powietrzna kierowcy  i pasażerów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Elektrycznie sterowane szyby przednie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Tylne światła zespolone.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lastRenderedPageBreak/>
              <w:t>21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Tylne światła przeciwmgielne i wsteczne.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22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Przednie reflektory </w:t>
            </w:r>
            <w:r w:rsidRPr="00CC5D91">
              <w:rPr>
                <w:rFonts w:asciiTheme="minorHAnsi" w:hAnsiTheme="minorHAnsi" w:cs="Times New Roman"/>
              </w:rPr>
              <w:t>wielopłaszczyznowe, halogenowe, ze światłami do jazdy dziennej.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Przednie światła przeciwmgielne</w:t>
            </w:r>
            <w:r w:rsidRPr="00CC5D91">
              <w:rPr>
                <w:rFonts w:asciiTheme="minorHAnsi" w:hAnsiTheme="minorHAnsi" w:cs="Times New Roman"/>
              </w:rPr>
              <w:t>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24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Lusterka boczne: </w:t>
            </w:r>
            <w:r w:rsidRPr="00CC5D91">
              <w:rPr>
                <w:rFonts w:asciiTheme="minorHAnsi" w:hAnsiTheme="minorHAnsi" w:cs="Times New Roman"/>
              </w:rPr>
              <w:t>sterowane elektrycznie i</w:t>
            </w:r>
            <w:r w:rsidRPr="00CC5D91">
              <w:rPr>
                <w:rFonts w:asciiTheme="minorHAnsi" w:hAnsiTheme="minorHAnsi" w:cs="Times New Roman"/>
                <w:b/>
              </w:rPr>
              <w:t xml:space="preserve"> </w:t>
            </w:r>
            <w:r w:rsidRPr="00CC5D91">
              <w:rPr>
                <w:rFonts w:asciiTheme="minorHAnsi" w:hAnsiTheme="minorHAnsi" w:cs="Times New Roman"/>
              </w:rPr>
              <w:t xml:space="preserve">podgrzewane 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Lampy błyskowe halogenowe lub LED w kolorze pomarańczowym</w:t>
            </w:r>
            <w:r w:rsidRPr="00CC5D91">
              <w:rPr>
                <w:rFonts w:asciiTheme="minorHAnsi" w:hAnsiTheme="minorHAnsi" w:cs="Times New Roman"/>
              </w:rPr>
              <w:t>: 2 szt., zamontowane na dachu pojazdu wraz z osłoną przed zniszczeniem/zrzuceniem.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26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Zamontowany HAK + gniazdo  </w:t>
            </w:r>
            <w:r w:rsidRPr="00CC5D91">
              <w:rPr>
                <w:rFonts w:asciiTheme="minorHAnsi" w:hAnsiTheme="minorHAnsi" w:cs="Times New Roman"/>
              </w:rPr>
              <w:t>(do ciągnięcia przyczepki)</w:t>
            </w:r>
            <w:r w:rsidRPr="00CC5D91">
              <w:rPr>
                <w:rFonts w:asciiTheme="minorHAnsi" w:hAnsiTheme="minorHAnsi"/>
                <w:b/>
                <w:noProof/>
              </w:rPr>
              <w:t xml:space="preserve"> 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27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Komputer pokładowy.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28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Schowki na desce rozdzielczej, na poddaszu oraz pod fotelami.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29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Radio </w:t>
            </w:r>
            <w:r w:rsidRPr="00CC5D91">
              <w:rPr>
                <w:rFonts w:asciiTheme="minorHAnsi" w:hAnsiTheme="minorHAnsi" w:cs="Times New Roman"/>
              </w:rPr>
              <w:t>wraz z kompletną instalacją, anteną i 2 głośnikami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Pokrowce na fotele </w:t>
            </w:r>
            <w:r w:rsidRPr="00CC5D91">
              <w:rPr>
                <w:rFonts w:asciiTheme="minorHAnsi" w:hAnsiTheme="minorHAnsi" w:cs="Times New Roman"/>
              </w:rPr>
              <w:t xml:space="preserve"> zapobiegające przetarciom tapicerki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31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Dywaniki gumowe pod nogi kierowcy i pasażerów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32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Wyposażenie</w:t>
            </w:r>
            <w:r w:rsidRPr="00CC5D91">
              <w:rPr>
                <w:rFonts w:asciiTheme="minorHAnsi" w:hAnsiTheme="minorHAnsi" w:cs="Times New Roman"/>
              </w:rPr>
              <w:t xml:space="preserve">: </w:t>
            </w:r>
          </w:p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</w:rPr>
              <w:t xml:space="preserve">1. hak holowniczy umożliwiający holowanie pojazdu, </w:t>
            </w:r>
            <w:r w:rsidRPr="00CC5D91">
              <w:rPr>
                <w:rFonts w:asciiTheme="minorHAnsi" w:hAnsiTheme="minorHAnsi" w:cs="Times New Roman"/>
              </w:rPr>
              <w:br/>
              <w:t xml:space="preserve">2. linka do holowania, </w:t>
            </w:r>
            <w:r w:rsidRPr="00CC5D91">
              <w:rPr>
                <w:rFonts w:asciiTheme="minorHAnsi" w:hAnsiTheme="minorHAnsi" w:cs="Times New Roman"/>
              </w:rPr>
              <w:br/>
              <w:t xml:space="preserve">3. gaśnica, </w:t>
            </w:r>
            <w:r w:rsidRPr="00CC5D91">
              <w:rPr>
                <w:rFonts w:asciiTheme="minorHAnsi" w:hAnsiTheme="minorHAnsi" w:cs="Times New Roman"/>
              </w:rPr>
              <w:br/>
              <w:t xml:space="preserve">4. trójkąt odblaskowy, </w:t>
            </w:r>
            <w:r w:rsidRPr="00CC5D91">
              <w:rPr>
                <w:rFonts w:asciiTheme="minorHAnsi" w:hAnsiTheme="minorHAnsi" w:cs="Times New Roman"/>
              </w:rPr>
              <w:br/>
              <w:t xml:space="preserve">5. lewarek, </w:t>
            </w:r>
            <w:r w:rsidRPr="00CC5D91">
              <w:rPr>
                <w:rFonts w:asciiTheme="minorHAnsi" w:hAnsiTheme="minorHAnsi" w:cs="Times New Roman"/>
              </w:rPr>
              <w:br/>
              <w:t xml:space="preserve">6. apteczka, </w:t>
            </w:r>
            <w:r w:rsidRPr="00CC5D91">
              <w:rPr>
                <w:rFonts w:asciiTheme="minorHAnsi" w:hAnsiTheme="minorHAnsi" w:cs="Times New Roman"/>
              </w:rPr>
              <w:br/>
              <w:t xml:space="preserve">7. klucz do kół, 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33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Zatankowany do pełna zbiornik paliwa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34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Pojazd gotowy do jazdy, posiadający zalecane stany wszystkich płynów eksploatacyjnych.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35</w:t>
            </w:r>
          </w:p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W cenie pojazdu należy uwzględnić 2 letni serwis pojazdu zawierający obowiązkowe przeglądy techniczne w terminach i zakresach zgodnych z książką gwarancyjną. Okresowy przegląd techniczny wraz z koniecznymi wymianami płynów, podzespołów oraz części wynikających z gwarancji wykonywane będą na koszt Sprzedawcy.</w:t>
            </w:r>
            <w:r w:rsidRPr="00CC5D91">
              <w:rPr>
                <w:rFonts w:asciiTheme="minorHAnsi" w:hAnsiTheme="minorHAnsi"/>
                <w:b/>
                <w:noProof/>
              </w:rPr>
              <w:t xml:space="preserve"> </w:t>
            </w:r>
          </w:p>
        </w:tc>
      </w:tr>
      <w:tr w:rsidR="00CC5D91" w:rsidRPr="00CC5D91" w:rsidTr="00F4396D">
        <w:tc>
          <w:tcPr>
            <w:tcW w:w="846" w:type="dxa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36</w:t>
            </w:r>
          </w:p>
        </w:tc>
        <w:tc>
          <w:tcPr>
            <w:tcW w:w="8334" w:type="dxa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Pojazd musi posiadać wszystkie niezbędne dokumenty oraz tłumaczenia obowiązujące prawem do rejestracji pojazdu na terenie RP. Pojazd może być zarejestrowany.</w:t>
            </w:r>
            <w:r w:rsidRPr="00CC5D91">
              <w:rPr>
                <w:rFonts w:asciiTheme="minorHAnsi" w:hAnsiTheme="minorHAnsi"/>
                <w:b/>
              </w:rPr>
              <w:tab/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WARUNKI ZAMAWIAJĄCEGO</w:t>
            </w:r>
          </w:p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DOTYCZĄCE ZABUDOWY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Wywrotka tylno-zsypowa</w:t>
            </w:r>
            <w:r w:rsidRPr="00CC5D91">
              <w:rPr>
                <w:rFonts w:asciiTheme="minorHAnsi" w:hAnsiTheme="minorHAnsi" w:cs="Times New Roman"/>
              </w:rPr>
              <w:t>, zamontowana na podwoziu samochodu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Skrzynia </w:t>
            </w:r>
            <w:r w:rsidRPr="00CC5D91">
              <w:rPr>
                <w:rFonts w:asciiTheme="minorHAnsi" w:hAnsiTheme="minorHAnsi" w:cs="Times New Roman"/>
              </w:rPr>
              <w:t>o wymiarach wewnętrznych:</w:t>
            </w:r>
            <w:r w:rsidRPr="00CC5D91">
              <w:rPr>
                <w:rFonts w:asciiTheme="minorHAnsi" w:hAnsiTheme="minorHAnsi" w:cs="Times New Roman"/>
              </w:rPr>
              <w:br/>
              <w:t>Długość: min.    3500 mm</w:t>
            </w:r>
            <w:r w:rsidRPr="00CC5D91">
              <w:rPr>
                <w:rFonts w:asciiTheme="minorHAnsi" w:hAnsiTheme="minorHAnsi" w:cs="Times New Roman"/>
              </w:rPr>
              <w:br/>
            </w:r>
            <w:r w:rsidRPr="00CC5D91">
              <w:rPr>
                <w:rFonts w:asciiTheme="minorHAnsi" w:hAnsiTheme="minorHAnsi" w:cs="Times New Roman"/>
              </w:rPr>
              <w:lastRenderedPageBreak/>
              <w:t xml:space="preserve">Szerokość: min  2030 mm </w:t>
            </w:r>
            <w:r w:rsidRPr="00CC5D91">
              <w:rPr>
                <w:rFonts w:asciiTheme="minorHAnsi" w:hAnsiTheme="minorHAnsi" w:cs="Times New Roman"/>
              </w:rPr>
              <w:br/>
              <w:t>Wysokość : min 400 mm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lastRenderedPageBreak/>
              <w:t>3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Spawana rama</w:t>
            </w:r>
            <w:r w:rsidRPr="00CC5D91">
              <w:rPr>
                <w:rFonts w:asciiTheme="minorHAnsi" w:hAnsiTheme="minorHAnsi" w:cs="Times New Roman"/>
              </w:rPr>
              <w:t xml:space="preserve"> stalowa lub aluminiowa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Podłoga wykonana ze stali lub aluminium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Słupki boczne stalowe lub aluminiowe</w:t>
            </w:r>
            <w:r w:rsidRPr="00CC5D91">
              <w:rPr>
                <w:rFonts w:asciiTheme="minorHAnsi" w:hAnsiTheme="minorHAnsi" w:cs="Times New Roman"/>
              </w:rPr>
              <w:t>.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Przednia burta</w:t>
            </w:r>
            <w:r w:rsidRPr="00CC5D91">
              <w:rPr>
                <w:rFonts w:asciiTheme="minorHAnsi" w:hAnsiTheme="minorHAnsi" w:cs="Times New Roman"/>
              </w:rPr>
              <w:t xml:space="preserve"> z kratą ochronną wzmocniona profilami, do wysokości kabiny kierowcy.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Wysokość burt min 40 cm</w:t>
            </w:r>
            <w:r w:rsidRPr="00CC5D91">
              <w:rPr>
                <w:rFonts w:asciiTheme="minorHAnsi" w:hAnsiTheme="minorHAnsi" w:cs="Times New Roman"/>
              </w:rPr>
              <w:t xml:space="preserve"> 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 xml:space="preserve">Centralne otwieranie burty tylnej. </w:t>
            </w:r>
            <w:r w:rsidRPr="00CC5D91">
              <w:rPr>
                <w:rFonts w:asciiTheme="minorHAnsi" w:hAnsiTheme="minorHAnsi" w:cs="Times New Roman"/>
              </w:rPr>
              <w:t>(Automatyczne otwieranie tylnej burty w osi górnej w momencie wywrotu)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Otwierane burty boczne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Zestaw hydrauliki ze sterowaniem wywrotu z kabiny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Nadkola z tworzywa</w:t>
            </w:r>
            <w:r w:rsidRPr="00CC5D91">
              <w:rPr>
                <w:rFonts w:asciiTheme="minorHAnsi" w:hAnsiTheme="minorHAnsi" w:cs="Times New Roman"/>
              </w:rPr>
              <w:t xml:space="preserve"> wraz z chlapaczami.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</w:rPr>
            </w:pPr>
            <w:r w:rsidRPr="00CC5D91">
              <w:rPr>
                <w:rFonts w:asciiTheme="minorHAnsi" w:hAnsiTheme="minorHAnsi" w:cs="Times New Roman"/>
                <w:b/>
              </w:rPr>
              <w:t>Zabezpieczenia antynajazdowe</w:t>
            </w:r>
            <w:r w:rsidRPr="00CC5D91">
              <w:rPr>
                <w:rFonts w:asciiTheme="minorHAnsi" w:hAnsiTheme="minorHAnsi" w:cs="Times New Roman"/>
              </w:rPr>
              <w:t>. (Boczne urządzenia zabezpieczające przed wjechaniem innego pojazdu)</w:t>
            </w:r>
          </w:p>
        </w:tc>
      </w:tr>
      <w:tr w:rsidR="00CC5D91" w:rsidRPr="00CC5D91" w:rsidTr="00F4396D">
        <w:tc>
          <w:tcPr>
            <w:tcW w:w="846" w:type="dxa"/>
            <w:vAlign w:val="center"/>
          </w:tcPr>
          <w:p w:rsidR="00CC5D91" w:rsidRPr="00CC5D91" w:rsidRDefault="00CC5D91" w:rsidP="00CC5D91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C5D91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8334" w:type="dxa"/>
            <w:vAlign w:val="center"/>
          </w:tcPr>
          <w:p w:rsidR="00CC5D91" w:rsidRPr="00CC5D91" w:rsidRDefault="00CC5D91" w:rsidP="00CC5D91">
            <w:pPr>
              <w:spacing w:line="360" w:lineRule="auto"/>
              <w:rPr>
                <w:rFonts w:asciiTheme="minorHAnsi" w:hAnsiTheme="minorHAnsi" w:cs="Times New Roman"/>
                <w:b/>
              </w:rPr>
            </w:pPr>
            <w:r w:rsidRPr="00CC5D91">
              <w:rPr>
                <w:rFonts w:asciiTheme="minorHAnsi" w:hAnsiTheme="minorHAnsi" w:cs="Times New Roman"/>
                <w:b/>
              </w:rPr>
              <w:t>Światła obrysowe boczne i tylne</w:t>
            </w:r>
          </w:p>
        </w:tc>
      </w:tr>
    </w:tbl>
    <w:p w:rsidR="00881D85" w:rsidRPr="00CC5D91" w:rsidRDefault="00881D85" w:rsidP="00CC5D91">
      <w:pPr>
        <w:spacing w:line="360" w:lineRule="auto"/>
        <w:rPr>
          <w:rFonts w:asciiTheme="minorHAnsi" w:hAnsiTheme="minorHAnsi" w:cstheme="majorHAnsi"/>
          <w:b/>
        </w:rPr>
      </w:pPr>
    </w:p>
    <w:p w:rsidR="00881D85" w:rsidRPr="00CC5D91" w:rsidRDefault="00881D85" w:rsidP="00CC5D91">
      <w:pPr>
        <w:spacing w:line="360" w:lineRule="auto"/>
        <w:rPr>
          <w:rFonts w:asciiTheme="minorHAnsi" w:hAnsiTheme="minorHAnsi" w:cstheme="majorHAnsi"/>
        </w:rPr>
      </w:pPr>
      <w:r w:rsidRPr="00CC5D91">
        <w:rPr>
          <w:rFonts w:asciiTheme="minorHAnsi" w:hAnsiTheme="minorHAnsi" w:cstheme="majorHAnsi"/>
        </w:rPr>
        <w:t xml:space="preserve">Pozostałe uregulowania dotyczące wykonania przedmiotu umowy określa wzór umowy, stanowiący </w:t>
      </w:r>
      <w:r w:rsidRPr="00CC5D91">
        <w:rPr>
          <w:rFonts w:asciiTheme="minorHAnsi" w:hAnsiTheme="minorHAnsi" w:cstheme="majorHAnsi"/>
          <w:b/>
        </w:rPr>
        <w:t>Załącznik nr 8 do SWZ</w:t>
      </w:r>
      <w:r w:rsidRPr="00CC5D91">
        <w:rPr>
          <w:rFonts w:asciiTheme="minorHAnsi" w:hAnsiTheme="minorHAnsi" w:cstheme="majorHAnsi"/>
        </w:rPr>
        <w:t>.</w:t>
      </w:r>
    </w:p>
    <w:p w:rsidR="00881D85" w:rsidRPr="00CC5D91" w:rsidRDefault="00881D85" w:rsidP="00CC5D91">
      <w:pPr>
        <w:spacing w:line="360" w:lineRule="auto"/>
        <w:rPr>
          <w:rFonts w:asciiTheme="minorHAnsi" w:hAnsiTheme="minorHAnsi" w:cstheme="majorHAnsi"/>
        </w:rPr>
      </w:pPr>
    </w:p>
    <w:p w:rsidR="00881D85" w:rsidRPr="00CC5D91" w:rsidRDefault="00881D85" w:rsidP="00CC5D91">
      <w:pPr>
        <w:spacing w:line="360" w:lineRule="auto"/>
        <w:rPr>
          <w:rFonts w:asciiTheme="minorHAnsi" w:hAnsiTheme="minorHAnsi" w:cstheme="majorHAnsi"/>
        </w:rPr>
      </w:pPr>
      <w:r w:rsidRPr="00CC5D91">
        <w:rPr>
          <w:rFonts w:asciiTheme="minorHAnsi" w:hAnsiTheme="minorHAnsi" w:cstheme="majorHAnsi"/>
        </w:rPr>
        <w:t xml:space="preserve">Oferta musi być jednoznaczna i kompleksowa, tj. musi być zgodna z wymaganiami Zamawiającego określonymi w dokumentach zamówienia. </w:t>
      </w:r>
    </w:p>
    <w:p w:rsidR="00881D85" w:rsidRPr="00CC5D91" w:rsidRDefault="00881D85" w:rsidP="00CC5D91">
      <w:pPr>
        <w:spacing w:line="360" w:lineRule="auto"/>
        <w:rPr>
          <w:rFonts w:asciiTheme="minorHAnsi" w:hAnsiTheme="minorHAnsi" w:cstheme="majorHAnsi"/>
        </w:rPr>
      </w:pPr>
      <w:r w:rsidRPr="00CC5D91">
        <w:rPr>
          <w:rFonts w:asciiTheme="minorHAnsi" w:hAnsiTheme="minorHAnsi" w:cstheme="majorHAnsi"/>
        </w:rPr>
        <w:t>OPZ nie podlega interpretacji. Jeśli zapisy specyfikacji są zdaniem Wykonawcy niejasne, niepełne, nieprecyzyjne lub błędne, to Wykonawca ma obowiązek zadać pytanie przed złożeniem oferty.</w:t>
      </w:r>
    </w:p>
    <w:p w:rsidR="00F3571F" w:rsidRPr="00CC5D91" w:rsidRDefault="00F3571F" w:rsidP="00CC5D91">
      <w:pPr>
        <w:spacing w:line="360" w:lineRule="auto"/>
        <w:rPr>
          <w:rFonts w:asciiTheme="minorHAnsi" w:hAnsiTheme="minorHAnsi" w:cstheme="majorHAnsi"/>
        </w:rPr>
      </w:pPr>
    </w:p>
    <w:sectPr w:rsidR="00F3571F" w:rsidRPr="00CC5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85" w:rsidRDefault="00881D85" w:rsidP="00881D85">
      <w:pPr>
        <w:spacing w:line="240" w:lineRule="auto"/>
      </w:pPr>
      <w:r>
        <w:separator/>
      </w:r>
    </w:p>
  </w:endnote>
  <w:endnote w:type="continuationSeparator" w:id="0">
    <w:p w:rsidR="00881D85" w:rsidRDefault="00881D85" w:rsidP="00881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85" w:rsidRDefault="00881D85" w:rsidP="00881D85">
      <w:pPr>
        <w:spacing w:line="240" w:lineRule="auto"/>
      </w:pPr>
      <w:r>
        <w:separator/>
      </w:r>
    </w:p>
  </w:footnote>
  <w:footnote w:type="continuationSeparator" w:id="0">
    <w:p w:rsidR="00881D85" w:rsidRDefault="00881D85" w:rsidP="00881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85" w:rsidRPr="00881D85" w:rsidRDefault="00881D85">
    <w:pPr>
      <w:pStyle w:val="Nagwek"/>
      <w:rPr>
        <w:rFonts w:asciiTheme="majorHAnsi" w:hAnsiTheme="majorHAnsi" w:cstheme="majorHAnsi"/>
      </w:rPr>
    </w:pPr>
    <w:r w:rsidRPr="00E76573">
      <w:rPr>
        <w:rFonts w:asciiTheme="majorHAnsi" w:hAnsiTheme="majorHAnsi" w:cstheme="majorHAnsi"/>
      </w:rPr>
      <w:t>BZK.272.2.1</w:t>
    </w:r>
    <w:r w:rsidR="00EA61D6">
      <w:rPr>
        <w:rFonts w:asciiTheme="majorHAnsi" w:hAnsiTheme="majorHAnsi" w:cstheme="majorHAnsi"/>
      </w:rPr>
      <w:t>5</w:t>
    </w:r>
    <w:r w:rsidRPr="00E76573">
      <w:rPr>
        <w:rFonts w:asciiTheme="majorHAnsi" w:hAnsiTheme="majorHAnsi" w:cstheme="majorHAnsi"/>
      </w:rPr>
      <w:t>.2023</w:t>
    </w:r>
    <w:r w:rsidR="004622AC">
      <w:rPr>
        <w:rFonts w:asciiTheme="majorHAnsi" w:hAnsiTheme="majorHAnsi" w:cstheme="majorHAnsi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forms" w:enforcement="1" w:cryptProviderType="rsaFull" w:cryptAlgorithmClass="hash" w:cryptAlgorithmType="typeAny" w:cryptAlgorithmSid="4" w:cryptSpinCount="100000" w:hash="TdondBQvOQBCS2tSd6CLDvDguFI=" w:salt="IgzFV3K1KHF5isXBP6BM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B5"/>
    <w:rsid w:val="000558A6"/>
    <w:rsid w:val="000A220D"/>
    <w:rsid w:val="002B25DE"/>
    <w:rsid w:val="003577AE"/>
    <w:rsid w:val="004622AC"/>
    <w:rsid w:val="004B5730"/>
    <w:rsid w:val="00550049"/>
    <w:rsid w:val="00660CD9"/>
    <w:rsid w:val="006751CE"/>
    <w:rsid w:val="00881D85"/>
    <w:rsid w:val="00B33CB5"/>
    <w:rsid w:val="00CC5D91"/>
    <w:rsid w:val="00CE2707"/>
    <w:rsid w:val="00CF24CC"/>
    <w:rsid w:val="00D303CB"/>
    <w:rsid w:val="00DD5728"/>
    <w:rsid w:val="00EA61D6"/>
    <w:rsid w:val="00F115BD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81D85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D8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1D85"/>
  </w:style>
  <w:style w:type="paragraph" w:styleId="Stopka">
    <w:name w:val="footer"/>
    <w:basedOn w:val="Normalny"/>
    <w:link w:val="StopkaZnak"/>
    <w:uiPriority w:val="99"/>
    <w:unhideWhenUsed/>
    <w:rsid w:val="00881D8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1D85"/>
  </w:style>
  <w:style w:type="table" w:styleId="Tabela-Siatka">
    <w:name w:val="Table Grid"/>
    <w:basedOn w:val="Standardowy"/>
    <w:uiPriority w:val="59"/>
    <w:unhideWhenUsed/>
    <w:rsid w:val="00881D85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81D85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D8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1D85"/>
  </w:style>
  <w:style w:type="paragraph" w:styleId="Stopka">
    <w:name w:val="footer"/>
    <w:basedOn w:val="Normalny"/>
    <w:link w:val="StopkaZnak"/>
    <w:uiPriority w:val="99"/>
    <w:unhideWhenUsed/>
    <w:rsid w:val="00881D8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1D85"/>
  </w:style>
  <w:style w:type="table" w:styleId="Tabela-Siatka">
    <w:name w:val="Table Grid"/>
    <w:basedOn w:val="Standardowy"/>
    <w:uiPriority w:val="59"/>
    <w:unhideWhenUsed/>
    <w:rsid w:val="00881D85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8</cp:revision>
  <dcterms:created xsi:type="dcterms:W3CDTF">2023-10-27T11:09:00Z</dcterms:created>
  <dcterms:modified xsi:type="dcterms:W3CDTF">2023-12-04T13:47:00Z</dcterms:modified>
</cp:coreProperties>
</file>