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B0D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4C058BA3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BCAC4DC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7CEEDAD3" w14:textId="0F357124" w:rsidR="004E225A" w:rsidRDefault="00E81A80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F370E7">
        <w:rPr>
          <w:rFonts w:ascii="Arial" w:eastAsia="Arial" w:hAnsi="Arial"/>
          <w:sz w:val="16"/>
          <w:szCs w:val="16"/>
        </w:rPr>
        <w:t>2</w:t>
      </w:r>
      <w:r>
        <w:rPr>
          <w:rFonts w:ascii="Arial" w:eastAsia="Arial" w:hAnsi="Arial"/>
          <w:sz w:val="16"/>
          <w:szCs w:val="16"/>
        </w:rPr>
        <w:t>/202</w:t>
      </w:r>
      <w:r w:rsidR="00F71BDE">
        <w:rPr>
          <w:rFonts w:ascii="Arial" w:eastAsia="Arial" w:hAnsi="Arial"/>
          <w:sz w:val="16"/>
          <w:szCs w:val="16"/>
        </w:rPr>
        <w:t>4</w:t>
      </w:r>
    </w:p>
    <w:p w14:paraId="724DC59D" w14:textId="77777777" w:rsidR="004E225A" w:rsidRDefault="004E225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A306B5" w14:textId="77777777" w:rsidR="004E225A" w:rsidRDefault="00E81A80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5450C2C" w14:textId="77777777" w:rsidR="004E225A" w:rsidRDefault="004E225A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4F0B339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6118773C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A3175C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45C3E0BD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069194F9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1A0CC490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6DD9350" w14:textId="77777777" w:rsidR="004E225A" w:rsidRDefault="004E225A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2D695D73" w14:textId="77777777" w:rsidR="004E225A" w:rsidRDefault="004E225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3E32C225" w14:textId="77777777" w:rsidR="004E225A" w:rsidRDefault="00E81A8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3C4ED637" w14:textId="77777777" w:rsidR="004E225A" w:rsidRDefault="00E81A80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377CCE7A" w14:textId="77777777" w:rsidR="004E225A" w:rsidRDefault="004E225A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A09F7A2" w14:textId="1738BB58" w:rsidR="004E225A" w:rsidRDefault="00E81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F370E7">
        <w:rPr>
          <w:rFonts w:ascii="Arial" w:hAnsi="Arial" w:cs="Arial"/>
          <w:b/>
          <w:bCs/>
        </w:rPr>
        <w:t xml:space="preserve">produktów medycznych i implantów </w:t>
      </w:r>
      <w:r>
        <w:rPr>
          <w:rFonts w:ascii="Arial" w:hAnsi="Arial" w:cs="Arial"/>
        </w:rPr>
        <w:t>prowadzonego w trybie przetargu nieograniczonego, na podstawie ustawy z dnia 11 września 2019 r. Prawo zamówień publicznych</w:t>
      </w:r>
      <w:r w:rsidR="00335BB0">
        <w:rPr>
          <w:rFonts w:ascii="Arial" w:hAnsi="Arial" w:cs="Arial"/>
        </w:rPr>
        <w:t xml:space="preserve"> </w:t>
      </w:r>
      <w:r w:rsidR="00335BB0">
        <w:rPr>
          <w:rFonts w:ascii="Arial" w:hAnsi="Arial"/>
        </w:rPr>
        <w:t>(tj. Dz. U. z 2023 r. poz. 1605)</w:t>
      </w:r>
      <w:r w:rsidR="00335BB0" w:rsidRPr="00975D0F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oświadczam:</w:t>
      </w:r>
    </w:p>
    <w:p w14:paraId="7B6DEF78" w14:textId="77777777" w:rsidR="004E225A" w:rsidRDefault="00F370E7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058176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2110170B" w14:textId="77777777" w:rsidR="004E225A" w:rsidRDefault="004E225A"/>
              </w:txbxContent>
            </v:textbox>
          </v:shape>
        </w:pict>
      </w:r>
    </w:p>
    <w:p w14:paraId="4388C4D5" w14:textId="77777777" w:rsidR="004E225A" w:rsidRDefault="00E81A80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0F3EB21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904354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73CE8D" w14:textId="77777777" w:rsidR="004E225A" w:rsidRDefault="00F370E7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52A4DA84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1424C9B9" w14:textId="77777777" w:rsidR="004E225A" w:rsidRDefault="004E225A"/>
              </w:txbxContent>
            </v:textbox>
          </v:shape>
        </w:pict>
      </w:r>
    </w:p>
    <w:p w14:paraId="42C7B351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0236F7D5" w14:textId="77777777" w:rsidR="004E225A" w:rsidRDefault="00F370E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5FD2AC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684D8D72" w14:textId="77777777" w:rsidR="004E225A" w:rsidRDefault="004E225A"/>
              </w:txbxContent>
            </v:textbox>
          </v:shape>
        </w:pict>
      </w:r>
    </w:p>
    <w:p w14:paraId="11CE4BD9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3240706B" w14:textId="77777777" w:rsidR="004E225A" w:rsidRDefault="004E225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6D258645" w14:textId="77777777" w:rsidR="004E225A" w:rsidRDefault="004E225A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539CF742" w14:textId="77777777" w:rsidR="004E225A" w:rsidRDefault="00E81A80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47C671EC" w14:textId="77777777" w:rsidR="004E225A" w:rsidRDefault="00E81A8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230D477F" w14:textId="77777777" w:rsidR="004E225A" w:rsidRDefault="00E81A8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4F7CA808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C470D06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CBA261" w14:textId="77777777" w:rsidR="004E225A" w:rsidRDefault="00E81A8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3B213F2D" w14:textId="77777777" w:rsidR="004E225A" w:rsidRDefault="004E225A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4E22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3057" w14:textId="77777777" w:rsidR="0079665C" w:rsidRDefault="00E81A80">
      <w:r>
        <w:separator/>
      </w:r>
    </w:p>
  </w:endnote>
  <w:endnote w:type="continuationSeparator" w:id="0">
    <w:p w14:paraId="03BD105E" w14:textId="77777777" w:rsidR="0079665C" w:rsidRDefault="00E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BAC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D4E" w14:textId="77777777" w:rsidR="004E225A" w:rsidRDefault="004E225A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0B21" w14:textId="77777777" w:rsidR="004E225A" w:rsidRDefault="00F370E7">
    <w:pPr>
      <w:pStyle w:val="Stopka"/>
    </w:pPr>
    <w:r>
      <w:pict w14:anchorId="3B333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C65C" w14:textId="77777777" w:rsidR="004E225A" w:rsidRDefault="00E81A80">
      <w:r>
        <w:separator/>
      </w:r>
    </w:p>
  </w:footnote>
  <w:footnote w:type="continuationSeparator" w:id="0">
    <w:p w14:paraId="155B4387" w14:textId="77777777" w:rsidR="004E225A" w:rsidRDefault="00E81A80">
      <w:r>
        <w:continuationSeparator/>
      </w:r>
    </w:p>
  </w:footnote>
  <w:footnote w:id="1">
    <w:p w14:paraId="371AD767" w14:textId="77777777" w:rsidR="004E225A" w:rsidRDefault="004E225A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F72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0C2" w14:textId="77777777" w:rsidR="004E225A" w:rsidRDefault="00E81A80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35BB0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225A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2DF4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665C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4217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1A80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370E7"/>
    <w:rsid w:val="00F40A15"/>
    <w:rsid w:val="00F441D5"/>
    <w:rsid w:val="00F45D8A"/>
    <w:rsid w:val="00F54D41"/>
    <w:rsid w:val="00F71BDE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C948047"/>
  <w15:docId w15:val="{6CDD4F32-959B-4886-AA4B-2670F8D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273</cp:revision>
  <cp:lastPrinted>2023-09-29T11:08:00Z</cp:lastPrinted>
  <dcterms:created xsi:type="dcterms:W3CDTF">2021-03-08T08:17:00Z</dcterms:created>
  <dcterms:modified xsi:type="dcterms:W3CDTF">2024-01-04T11:02:00Z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