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8454A6">
        <w:rPr>
          <w:rFonts w:ascii="Times New Roman" w:hAnsi="Times New Roman" w:cs="Times New Roman"/>
          <w:b/>
          <w:sz w:val="24"/>
          <w:szCs w:val="24"/>
        </w:rPr>
        <w:t xml:space="preserve">sieci wodociągowej </w:t>
      </w:r>
      <w:r w:rsidR="00692A6D">
        <w:rPr>
          <w:rFonts w:ascii="Times New Roman" w:hAnsi="Times New Roman" w:cs="Times New Roman"/>
          <w:b/>
          <w:sz w:val="24"/>
          <w:szCs w:val="24"/>
        </w:rPr>
        <w:t xml:space="preserve">w Brzeziu </w:t>
      </w:r>
      <w:r w:rsidR="00E048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5347">
        <w:rPr>
          <w:rFonts w:ascii="Times New Roman" w:hAnsi="Times New Roman" w:cs="Times New Roman"/>
          <w:b/>
          <w:sz w:val="24"/>
          <w:szCs w:val="24"/>
        </w:rPr>
        <w:t>etap 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4853">
        <w:rPr>
          <w:rFonts w:ascii="Times New Roman" w:hAnsi="Times New Roman" w:cs="Times New Roman"/>
          <w:sz w:val="24"/>
          <w:szCs w:val="24"/>
        </w:rPr>
        <w:t>2019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46D2">
        <w:rPr>
          <w:rFonts w:ascii="Times New Roman" w:hAnsi="Times New Roman" w:cs="Times New Roman"/>
          <w:sz w:val="24"/>
          <w:szCs w:val="24"/>
        </w:rPr>
        <w:t>2019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735347" w:rsidRPr="007A2629" w:rsidRDefault="00735347" w:rsidP="0090470D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• sieć wodociągowa:</w:t>
      </w:r>
    </w:p>
    <w:p w:rsidR="003E0201" w:rsidRDefault="001C1CDF" w:rsidP="0090470D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D6322">
        <w:rPr>
          <w:rFonts w:ascii="Times New Roman" w:hAnsi="Times New Roman" w:cs="Times New Roman"/>
          <w:sz w:val="24"/>
          <w:szCs w:val="24"/>
        </w:rPr>
        <w:t>rurociągi</w:t>
      </w:r>
      <w:r w:rsidR="0090470D" w:rsidRPr="004A0532">
        <w:rPr>
          <w:rFonts w:ascii="Times New Roman" w:hAnsi="Times New Roman" w:cs="Times New Roman"/>
          <w:sz w:val="24"/>
          <w:szCs w:val="24"/>
        </w:rPr>
        <w:t xml:space="preserve"> </w:t>
      </w:r>
      <w:r w:rsidR="003E0201">
        <w:rPr>
          <w:rFonts w:ascii="Times New Roman" w:hAnsi="Times New Roman" w:cs="Times New Roman"/>
          <w:sz w:val="24"/>
          <w:szCs w:val="24"/>
        </w:rPr>
        <w:t>z rur ciśnieniowych PE</w:t>
      </w:r>
      <w:r w:rsidR="000A02BC">
        <w:rPr>
          <w:rFonts w:ascii="Times New Roman" w:hAnsi="Times New Roman" w:cs="Times New Roman"/>
          <w:sz w:val="24"/>
          <w:szCs w:val="24"/>
        </w:rPr>
        <w:t xml:space="preserve"> 100 łączone metodą zgrzewania</w:t>
      </w:r>
      <w:r w:rsidR="005675D3">
        <w:rPr>
          <w:rFonts w:ascii="Times New Roman" w:hAnsi="Times New Roman" w:cs="Times New Roman"/>
          <w:sz w:val="24"/>
          <w:szCs w:val="24"/>
        </w:rPr>
        <w:t>,</w:t>
      </w:r>
      <w:r w:rsidR="007D6322">
        <w:rPr>
          <w:rFonts w:ascii="Times New Roman" w:hAnsi="Times New Roman" w:cs="Times New Roman"/>
          <w:sz w:val="24"/>
          <w:szCs w:val="24"/>
        </w:rPr>
        <w:t xml:space="preserve"> o średnicy 11</w:t>
      </w:r>
      <w:r w:rsidR="0057290E">
        <w:rPr>
          <w:rFonts w:ascii="Times New Roman" w:hAnsi="Times New Roman" w:cs="Times New Roman"/>
          <w:sz w:val="24"/>
          <w:szCs w:val="24"/>
        </w:rPr>
        <w:t>0</w:t>
      </w:r>
      <w:r w:rsidR="003E0201">
        <w:rPr>
          <w:rFonts w:ascii="Times New Roman" w:hAnsi="Times New Roman" w:cs="Times New Roman"/>
          <w:sz w:val="24"/>
          <w:szCs w:val="24"/>
        </w:rPr>
        <w:t xml:space="preserve"> mm (SDR 11) </w:t>
      </w:r>
      <w:r w:rsidR="005675D3">
        <w:rPr>
          <w:rFonts w:ascii="Times New Roman" w:hAnsi="Times New Roman" w:cs="Times New Roman"/>
          <w:sz w:val="24"/>
          <w:szCs w:val="24"/>
        </w:rPr>
        <w:t>i</w:t>
      </w:r>
      <w:r w:rsidR="006B57AD">
        <w:rPr>
          <w:rFonts w:ascii="Times New Roman" w:hAnsi="Times New Roman" w:cs="Times New Roman"/>
          <w:sz w:val="24"/>
          <w:szCs w:val="24"/>
        </w:rPr>
        <w:t xml:space="preserve"> długości 421</w:t>
      </w:r>
      <w:r w:rsidR="007D6322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7D632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C05B8">
        <w:rPr>
          <w:rFonts w:ascii="Times New Roman" w:hAnsi="Times New Roman" w:cs="Times New Roman"/>
          <w:sz w:val="24"/>
          <w:szCs w:val="24"/>
        </w:rPr>
        <w:t xml:space="preserve"> (wykop otwarty),</w:t>
      </w:r>
    </w:p>
    <w:p w:rsidR="00CA3181" w:rsidRDefault="00CA3181" w:rsidP="00CA3181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rurociągi</w:t>
      </w:r>
      <w:r w:rsidRPr="004A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rur ciśnieniowych PE 100 łączone metodą zgrzewania, o średn</w:t>
      </w:r>
      <w:r w:rsidR="008C05B8">
        <w:rPr>
          <w:rFonts w:ascii="Times New Roman" w:hAnsi="Times New Roman" w:cs="Times New Roman"/>
          <w:sz w:val="24"/>
          <w:szCs w:val="24"/>
        </w:rPr>
        <w:t>icy 90 mm (SDR 11) i długości 55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C05B8">
        <w:rPr>
          <w:rFonts w:ascii="Times New Roman" w:hAnsi="Times New Roman" w:cs="Times New Roman"/>
          <w:sz w:val="24"/>
          <w:szCs w:val="24"/>
        </w:rPr>
        <w:t xml:space="preserve"> (wykop otwarty)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05B8" w:rsidRDefault="008C05B8" w:rsidP="008C05B8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rurociągi</w:t>
      </w:r>
      <w:r w:rsidRPr="004A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rur ciśnieniowych PE 100 o średnicy 110 mm (SDR 11) i długości 412,0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(przewiert sterowany),</w:t>
      </w:r>
    </w:p>
    <w:p w:rsidR="007D6322" w:rsidRDefault="007D6322" w:rsidP="007D632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ustawienie hydrantu </w:t>
      </w:r>
      <w:r w:rsidR="008C05B8">
        <w:rPr>
          <w:rFonts w:ascii="Times New Roman" w:hAnsi="Times New Roman" w:cs="Times New Roman"/>
          <w:sz w:val="24"/>
          <w:szCs w:val="24"/>
        </w:rPr>
        <w:t>nadziemnego o średnicy 80 mm - 5</w:t>
      </w:r>
      <w:r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7C5746" w:rsidRDefault="00091BD9" w:rsidP="00C40A47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przyłączy</w:t>
      </w:r>
      <w:r w:rsidR="007C5746">
        <w:rPr>
          <w:rFonts w:ascii="Times New Roman" w:hAnsi="Times New Roman" w:cs="Times New Roman"/>
          <w:sz w:val="24"/>
          <w:szCs w:val="24"/>
        </w:rPr>
        <w:t xml:space="preserve"> wodociągow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C5746">
        <w:rPr>
          <w:rFonts w:ascii="Times New Roman" w:hAnsi="Times New Roman" w:cs="Times New Roman"/>
          <w:sz w:val="24"/>
          <w:szCs w:val="24"/>
        </w:rPr>
        <w:t xml:space="preserve"> z rur ciśnieniowych PE, o średnicy 40 mm</w:t>
      </w:r>
      <w:r w:rsidR="007D6322">
        <w:rPr>
          <w:rFonts w:ascii="Times New Roman" w:hAnsi="Times New Roman" w:cs="Times New Roman"/>
          <w:sz w:val="24"/>
          <w:szCs w:val="24"/>
        </w:rPr>
        <w:t xml:space="preserve"> i długości </w:t>
      </w:r>
      <w:r w:rsidR="008C05B8">
        <w:rPr>
          <w:rFonts w:ascii="Times New Roman" w:hAnsi="Times New Roman" w:cs="Times New Roman"/>
          <w:sz w:val="24"/>
          <w:szCs w:val="24"/>
        </w:rPr>
        <w:t>łącznie 253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7D632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C05B8">
        <w:rPr>
          <w:rFonts w:ascii="Times New Roman" w:hAnsi="Times New Roman" w:cs="Times New Roman"/>
          <w:sz w:val="24"/>
          <w:szCs w:val="24"/>
        </w:rPr>
        <w:t xml:space="preserve"> (21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091BD9" w:rsidRDefault="008C05B8" w:rsidP="001B1DC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przyłącza wodociągowego z rur ciśnieniowych PE, o średnicy 63 mm i długości łącznie 6,0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F33A53" w:rsidRPr="00C76401" w:rsidRDefault="00A2619E" w:rsidP="003A4045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2B53D4" w:rsidRDefault="002B53D4" w:rsidP="00704E99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DCE" w:rsidRDefault="001B1DCE" w:rsidP="00704E99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DCE" w:rsidRDefault="001B1DCE" w:rsidP="00704E99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DCE" w:rsidRPr="00704E99" w:rsidRDefault="001B1DCE" w:rsidP="00704E99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29D" w:rsidRPr="00D02C67" w:rsidRDefault="0007729D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1B1DCE">
        <w:rPr>
          <w:rFonts w:ascii="Times New Roman" w:hAnsi="Times New Roman" w:cs="Times New Roman"/>
          <w:sz w:val="24"/>
          <w:szCs w:val="24"/>
        </w:rPr>
        <w:t>- 60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F3487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>
        <w:rPr>
          <w:rFonts w:ascii="Times New Roman" w:hAnsi="Times New Roman" w:cs="Times New Roman"/>
          <w:bCs/>
          <w:sz w:val="24"/>
          <w:szCs w:val="24"/>
        </w:rPr>
        <w:t>na kwotę nie mniejszą niż 500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EF3487">
        <w:rPr>
          <w:rFonts w:ascii="Times New Roman" w:hAnsi="Times New Roman" w:cs="Times New Roman"/>
          <w:bCs/>
          <w:sz w:val="24"/>
          <w:szCs w:val="24"/>
        </w:rPr>
        <w:t xml:space="preserve">pięćset tysięcy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Pr="001D70FC" w:rsidRDefault="00384D03" w:rsidP="001D70FC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70FC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1D70FC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1D70FC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>jedno zamówienie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E5" w:rsidRPr="001D70FC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>b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sieci wodociągowej </w:t>
      </w:r>
      <w:r w:rsidR="00F07862" w:rsidRPr="001D70FC">
        <w:rPr>
          <w:rFonts w:ascii="Times New Roman" w:hAnsi="Times New Roman" w:cs="Times New Roman"/>
          <w:bCs/>
          <w:sz w:val="24"/>
          <w:szCs w:val="24"/>
        </w:rPr>
        <w:t>z rur PE o średni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>c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y min. 110 mm i długości min. </w:t>
      </w:r>
      <w:r w:rsidR="001D70FC">
        <w:rPr>
          <w:rFonts w:ascii="Times New Roman" w:hAnsi="Times New Roman" w:cs="Times New Roman"/>
          <w:bCs/>
          <w:sz w:val="24"/>
          <w:szCs w:val="24"/>
        </w:rPr>
        <w:t>400</w:t>
      </w:r>
      <w:r w:rsidR="008A3D59" w:rsidRPr="001D70F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41FE5" w:rsidRPr="001D70F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141FE5" w:rsidRPr="001D70FC">
        <w:rPr>
          <w:rFonts w:ascii="Times New Roman" w:hAnsi="Times New Roman" w:cs="Times New Roman"/>
          <w:sz w:val="24"/>
          <w:szCs w:val="24"/>
        </w:rPr>
        <w:t>,</w:t>
      </w:r>
      <w:r w:rsidR="001D70FC">
        <w:rPr>
          <w:rFonts w:ascii="Times New Roman" w:hAnsi="Times New Roman" w:cs="Times New Roman"/>
          <w:sz w:val="24"/>
          <w:szCs w:val="24"/>
        </w:rPr>
        <w:t xml:space="preserve"> przeprowadzoną wykopem otwartym oraz </w:t>
      </w:r>
      <w:r w:rsidR="001D70FC">
        <w:rPr>
          <w:rFonts w:ascii="Times New Roman" w:hAnsi="Times New Roman" w:cs="Times New Roman"/>
          <w:bCs/>
          <w:sz w:val="24"/>
          <w:szCs w:val="24"/>
        </w:rPr>
        <w:t>b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udowę sieci wodociągowej z rur PE o średnicy min. 110 mm i długości min. </w:t>
      </w:r>
      <w:r w:rsidR="001D70FC">
        <w:rPr>
          <w:rFonts w:ascii="Times New Roman" w:hAnsi="Times New Roman" w:cs="Times New Roman"/>
          <w:bCs/>
          <w:sz w:val="24"/>
          <w:szCs w:val="24"/>
        </w:rPr>
        <w:t>400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D70FC" w:rsidRPr="001D70F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1D70FC">
        <w:rPr>
          <w:rFonts w:ascii="Times New Roman" w:hAnsi="Times New Roman" w:cs="Times New Roman"/>
          <w:bCs/>
          <w:sz w:val="24"/>
          <w:szCs w:val="24"/>
        </w:rPr>
        <w:t>, przeprowadzoną przewiertem sterowanym,</w:t>
      </w: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F6338F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="001D70FC"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="001D70FC"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70FC"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="001D70FC"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1D70FC">
        <w:rPr>
          <w:rFonts w:ascii="Times New Roman" w:hAnsi="Times New Roman" w:cs="Times New Roman"/>
          <w:sz w:val="24"/>
          <w:szCs w:val="24"/>
        </w:rPr>
        <w:t>, co najmniej 500</w:t>
      </w:r>
      <w:r w:rsidR="001D70FC" w:rsidRPr="00915908">
        <w:rPr>
          <w:rFonts w:ascii="Times New Roman" w:hAnsi="Times New Roman" w:cs="Times New Roman"/>
          <w:sz w:val="24"/>
          <w:szCs w:val="24"/>
        </w:rPr>
        <w:t>.000,00 zł</w:t>
      </w:r>
      <w:r w:rsidR="001D70FC"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1B1DCE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piętnaście 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9F52E4">
        <w:rPr>
          <w:rFonts w:ascii="Times New Roman" w:hAnsi="Times New Roman" w:cs="Times New Roman"/>
          <w:sz w:val="24"/>
          <w:szCs w:val="24"/>
        </w:rPr>
        <w:t>sieci wodociągowej</w:t>
      </w:r>
      <w:r w:rsidR="00692A6D">
        <w:rPr>
          <w:rFonts w:ascii="Times New Roman" w:hAnsi="Times New Roman" w:cs="Times New Roman"/>
          <w:sz w:val="24"/>
          <w:szCs w:val="24"/>
        </w:rPr>
        <w:t xml:space="preserve"> w Brzeziu </w:t>
      </w:r>
      <w:r w:rsidR="001D70FC">
        <w:rPr>
          <w:rFonts w:ascii="Times New Roman" w:hAnsi="Times New Roman" w:cs="Times New Roman"/>
          <w:sz w:val="24"/>
          <w:szCs w:val="24"/>
        </w:rPr>
        <w:t>- etap I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C35DD9" w:rsidRPr="00C35DD9">
        <w:rPr>
          <w:rFonts w:ascii="Times New Roman" w:hAnsi="Times New Roman" w:cs="Times New Roman"/>
          <w:b/>
          <w:sz w:val="24"/>
          <w:szCs w:val="24"/>
        </w:rPr>
        <w:t>01.06</w:t>
      </w:r>
      <w:r w:rsidR="001D70FC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C93E0F" w:rsidRPr="00C35DD9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4B37F3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B00330" w:rsidRDefault="00B00330" w:rsidP="00B00330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30" w:rsidRPr="00D02C67" w:rsidRDefault="00B00330" w:rsidP="00B00330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C35DD9" w:rsidRPr="00C35DD9">
        <w:rPr>
          <w:rFonts w:ascii="Times New Roman" w:hAnsi="Times New Roman" w:cs="Times New Roman"/>
          <w:b/>
          <w:sz w:val="24"/>
          <w:szCs w:val="24"/>
        </w:rPr>
        <w:t>01.06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DD203C" w:rsidRPr="00C35DD9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C35DD9" w:rsidRPr="00C35DD9">
        <w:rPr>
          <w:rFonts w:ascii="Times New Roman" w:hAnsi="Times New Roman" w:cs="Times New Roman"/>
          <w:b/>
          <w:sz w:val="24"/>
          <w:szCs w:val="24"/>
        </w:rPr>
        <w:t>01.06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C35DD9">
        <w:rPr>
          <w:rFonts w:ascii="Times New Roman" w:hAnsi="Times New Roman" w:cs="Times New Roman"/>
          <w:b/>
          <w:sz w:val="24"/>
          <w:szCs w:val="24"/>
        </w:rPr>
        <w:t xml:space="preserve"> r. o godzinie 10.1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Pr="00DB7B55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2360C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:rsidR="004B37F3" w:rsidRDefault="004B37F3" w:rsidP="00E33C14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9B0B91" w:rsidRPr="00C35DD9">
        <w:rPr>
          <w:rFonts w:ascii="Times New Roman" w:hAnsi="Times New Roman" w:cs="Times New Roman"/>
          <w:sz w:val="24"/>
          <w:szCs w:val="24"/>
        </w:rPr>
        <w:t>20.05.2021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D0E" w:rsidRDefault="00C06D0E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Pr="002D121C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22439" w:rsidRDefault="00022439" w:rsidP="00022439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Sporządził</w:t>
      </w:r>
    </w:p>
    <w:p w:rsidR="00022439" w:rsidRDefault="00022439" w:rsidP="0002243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22439">
        <w:rPr>
          <w:rFonts w:ascii="Times New Roman" w:hAnsi="Times New Roman" w:cs="Times New Roman"/>
          <w:sz w:val="24"/>
          <w:szCs w:val="24"/>
        </w:rPr>
        <w:t xml:space="preserve">Samodzielne stanowisko </w:t>
      </w:r>
      <w:r>
        <w:rPr>
          <w:rFonts w:ascii="Times New Roman" w:hAnsi="Times New Roman" w:cs="Times New Roman"/>
          <w:sz w:val="24"/>
          <w:szCs w:val="24"/>
        </w:rPr>
        <w:t>ds.</w:t>
      </w:r>
    </w:p>
    <w:p w:rsidR="00022439" w:rsidRPr="00022439" w:rsidRDefault="00022439" w:rsidP="00022439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439"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022439" w:rsidRPr="00022439" w:rsidRDefault="00022439" w:rsidP="0002243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439">
        <w:rPr>
          <w:rFonts w:ascii="Times New Roman" w:hAnsi="Times New Roman" w:cs="Times New Roman"/>
          <w:sz w:val="24"/>
          <w:szCs w:val="24"/>
        </w:rPr>
        <w:t>/-/ Mariusz Domżał</w:t>
      </w:r>
    </w:p>
    <w:p w:rsidR="00022439" w:rsidRDefault="00022439" w:rsidP="0002243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439" w:rsidRPr="00022439" w:rsidRDefault="00022439" w:rsidP="0002243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224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pecjalista </w:t>
      </w:r>
      <w:r>
        <w:rPr>
          <w:rFonts w:ascii="Times New Roman" w:hAnsi="Times New Roman" w:cs="Times New Roman"/>
          <w:sz w:val="24"/>
          <w:szCs w:val="24"/>
        </w:rPr>
        <w:t>ds.</w:t>
      </w:r>
      <w:r>
        <w:rPr>
          <w:rFonts w:ascii="Times New Roman" w:hAnsi="Times New Roman" w:cs="Times New Roman"/>
          <w:sz w:val="24"/>
          <w:szCs w:val="24"/>
        </w:rPr>
        <w:t xml:space="preserve"> Technicznych</w:t>
      </w:r>
    </w:p>
    <w:p w:rsidR="00022439" w:rsidRPr="00022439" w:rsidRDefault="00022439" w:rsidP="0002243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439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022439" w:rsidRDefault="00022439" w:rsidP="0002243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2439" w:rsidRDefault="00022439" w:rsidP="0002243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36" w:rsidRDefault="000E5936" w:rsidP="0002243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439" w:rsidRDefault="00022439" w:rsidP="0002243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439" w:rsidRDefault="00022439" w:rsidP="0002243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439" w:rsidRDefault="00022439" w:rsidP="0002243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022439" w:rsidRDefault="00022439" w:rsidP="00022439">
      <w:pPr>
        <w:rPr>
          <w:rFonts w:ascii="Times New Roman" w:hAnsi="Times New Roman" w:cs="Times New Roman"/>
          <w:sz w:val="24"/>
          <w:szCs w:val="24"/>
        </w:rPr>
      </w:pPr>
    </w:p>
    <w:p w:rsidR="00022439" w:rsidRDefault="00022439" w:rsidP="0002243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Prezes Zarządu            </w:t>
      </w:r>
    </w:p>
    <w:p w:rsidR="00022439" w:rsidRDefault="00022439" w:rsidP="0002243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/-/Dariusz Szymański    </w:t>
      </w:r>
    </w:p>
    <w:p w:rsidR="00022439" w:rsidRDefault="00022439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439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DC" w:rsidRDefault="007E31DC" w:rsidP="00287F74">
      <w:pPr>
        <w:spacing w:after="0" w:line="240" w:lineRule="auto"/>
      </w:pPr>
      <w:r>
        <w:separator/>
      </w:r>
    </w:p>
  </w:endnote>
  <w:endnote w:type="continuationSeparator" w:id="0">
    <w:p w:rsidR="007E31DC" w:rsidRDefault="007E31DC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DC" w:rsidRDefault="007E31DC" w:rsidP="00287F74">
      <w:pPr>
        <w:spacing w:after="0" w:line="240" w:lineRule="auto"/>
      </w:pPr>
      <w:r>
        <w:separator/>
      </w:r>
    </w:p>
  </w:footnote>
  <w:footnote w:type="continuationSeparator" w:id="0">
    <w:p w:rsidR="007E31DC" w:rsidRDefault="007E31DC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22439"/>
    <w:rsid w:val="0003749D"/>
    <w:rsid w:val="00040791"/>
    <w:rsid w:val="00046652"/>
    <w:rsid w:val="00053925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936"/>
    <w:rsid w:val="000E5A99"/>
    <w:rsid w:val="000E683E"/>
    <w:rsid w:val="000F1CAE"/>
    <w:rsid w:val="000F473F"/>
    <w:rsid w:val="00104182"/>
    <w:rsid w:val="00104B81"/>
    <w:rsid w:val="00111861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408F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C17C2"/>
    <w:rsid w:val="002D0AAC"/>
    <w:rsid w:val="002D121C"/>
    <w:rsid w:val="002E03FB"/>
    <w:rsid w:val="002E13CD"/>
    <w:rsid w:val="002E214C"/>
    <w:rsid w:val="002E3A50"/>
    <w:rsid w:val="002E3BA3"/>
    <w:rsid w:val="002F356A"/>
    <w:rsid w:val="0030065F"/>
    <w:rsid w:val="0031092B"/>
    <w:rsid w:val="00310F54"/>
    <w:rsid w:val="003113E8"/>
    <w:rsid w:val="00323DFD"/>
    <w:rsid w:val="0032482A"/>
    <w:rsid w:val="00325CFA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1ED8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874E3"/>
    <w:rsid w:val="00492133"/>
    <w:rsid w:val="00492A8D"/>
    <w:rsid w:val="004A0532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F2BFB"/>
    <w:rsid w:val="004F2E7D"/>
    <w:rsid w:val="00505ADC"/>
    <w:rsid w:val="00506DE3"/>
    <w:rsid w:val="005127D0"/>
    <w:rsid w:val="00515140"/>
    <w:rsid w:val="005151BD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3DF9"/>
    <w:rsid w:val="007C5746"/>
    <w:rsid w:val="007D6322"/>
    <w:rsid w:val="007D75F0"/>
    <w:rsid w:val="007E31DC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6265D"/>
    <w:rsid w:val="00965CAF"/>
    <w:rsid w:val="009673BA"/>
    <w:rsid w:val="009705E4"/>
    <w:rsid w:val="00970DEB"/>
    <w:rsid w:val="00974CD5"/>
    <w:rsid w:val="00980D9A"/>
    <w:rsid w:val="00980DB2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B3007"/>
    <w:rsid w:val="00AB3120"/>
    <w:rsid w:val="00AB3440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67335"/>
    <w:rsid w:val="00E86954"/>
    <w:rsid w:val="00E90728"/>
    <w:rsid w:val="00E946BA"/>
    <w:rsid w:val="00EB6341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A44C1"/>
    <w:rsid w:val="00FB2B71"/>
    <w:rsid w:val="00FC3224"/>
    <w:rsid w:val="00FC5EE5"/>
    <w:rsid w:val="00FE1512"/>
    <w:rsid w:val="00FE39F0"/>
    <w:rsid w:val="00FE754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BC1B-7F75-4720-A88F-6C90500B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4164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2021-05-20T11:12:00Z</cp:lastPrinted>
  <dcterms:created xsi:type="dcterms:W3CDTF">2021-05-20T11:41:00Z</dcterms:created>
  <dcterms:modified xsi:type="dcterms:W3CDTF">2021-05-20T12:18:00Z</dcterms:modified>
</cp:coreProperties>
</file>