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20DC4591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A6A55">
        <w:rPr>
          <w:rFonts w:ascii="Arial" w:hAnsi="Arial" w:cs="Arial"/>
          <w:b w:val="0"/>
          <w:i/>
          <w:sz w:val="20"/>
          <w:szCs w:val="20"/>
        </w:rPr>
        <w:t>3.2023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6063F029" w:rsidR="00BC3ECE" w:rsidRPr="00FA5B8C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0A6A55" w:rsidRPr="000A6A55">
        <w:rPr>
          <w:rFonts w:ascii="Arial" w:hAnsi="Arial" w:cs="Arial"/>
          <w:b/>
          <w:i/>
          <w:sz w:val="22"/>
          <w:szCs w:val="22"/>
        </w:rPr>
        <w:t>Pełnienie nadzoru inwestorskiego przy realizacji zadania: „ Budowa pełnowymiarowej hali sportowej wraz z kompleksem strzelnic i wielofunkcyjnymi salami sportowym przy Szkol</w:t>
      </w:r>
      <w:r w:rsidR="000A6A55">
        <w:rPr>
          <w:rFonts w:ascii="Arial" w:hAnsi="Arial" w:cs="Arial"/>
          <w:b/>
          <w:i/>
          <w:sz w:val="22"/>
          <w:szCs w:val="22"/>
        </w:rPr>
        <w:t>e Podstawowej nr 2 w Kartuzach”</w:t>
      </w:r>
      <w:r w:rsidR="00AB4970">
        <w:rPr>
          <w:rFonts w:ascii="Arial" w:hAnsi="Arial" w:cs="Arial"/>
          <w:b/>
          <w:i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67F89BA5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 xml:space="preserve">art. </w:t>
      </w:r>
      <w:r w:rsidR="00916E5D" w:rsidRPr="00916E5D">
        <w:rPr>
          <w:rFonts w:ascii="Arial" w:hAnsi="Arial" w:cs="Arial"/>
          <w:sz w:val="22"/>
          <w:szCs w:val="22"/>
        </w:rPr>
        <w:t xml:space="preserve">109 ust. 1 pkt </w:t>
      </w:r>
      <w:r w:rsidR="00B13227">
        <w:rPr>
          <w:rFonts w:ascii="Arial" w:hAnsi="Arial" w:cs="Arial"/>
          <w:sz w:val="22"/>
          <w:szCs w:val="22"/>
        </w:rPr>
        <w:t xml:space="preserve">1), </w:t>
      </w:r>
      <w:r w:rsidR="00B92B9E" w:rsidRPr="00916E5D">
        <w:rPr>
          <w:rFonts w:ascii="Arial" w:hAnsi="Arial" w:cs="Arial"/>
          <w:sz w:val="22"/>
          <w:szCs w:val="22"/>
        </w:rPr>
        <w:t>4), 5) i 7</w:t>
      </w:r>
      <w:r w:rsidR="001707E2" w:rsidRPr="00916E5D">
        <w:rPr>
          <w:rFonts w:ascii="Arial" w:hAnsi="Arial" w:cs="Arial"/>
          <w:sz w:val="22"/>
          <w:szCs w:val="22"/>
        </w:rPr>
        <w:t>)</w:t>
      </w:r>
      <w:r w:rsidR="004A0F1C" w:rsidRPr="00916E5D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5012FA1" w14:textId="77777777" w:rsidR="000A6A55" w:rsidRDefault="000A6A5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38A77B7F" w:rsidR="001C0DD0" w:rsidRPr="00FA5B8C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bCs/>
          <w:color w:val="auto"/>
          <w:sz w:val="18"/>
          <w:szCs w:val="18"/>
        </w:rPr>
        <w:t>Zgodnie art. 109 ust</w:t>
      </w:r>
      <w:r w:rsidR="00B13227">
        <w:rPr>
          <w:rFonts w:ascii="Arial" w:hAnsi="Arial" w:cs="Arial"/>
          <w:bCs/>
          <w:color w:val="auto"/>
          <w:sz w:val="18"/>
          <w:szCs w:val="18"/>
        </w:rPr>
        <w:t>.</w:t>
      </w:r>
      <w:r w:rsidRPr="00FA5B8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16E5D" w:rsidRPr="00FA5B8C">
        <w:rPr>
          <w:rFonts w:ascii="Arial" w:hAnsi="Arial" w:cs="Arial"/>
          <w:color w:val="auto"/>
          <w:sz w:val="18"/>
          <w:szCs w:val="18"/>
        </w:rPr>
        <w:t xml:space="preserve">1pkt </w:t>
      </w:r>
      <w:r w:rsidR="00B13227">
        <w:rPr>
          <w:rFonts w:ascii="Arial" w:hAnsi="Arial" w:cs="Arial"/>
          <w:color w:val="auto"/>
          <w:sz w:val="18"/>
          <w:szCs w:val="18"/>
        </w:rPr>
        <w:t>1),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0C3994F3" w14:textId="7C08C75B" w:rsidR="00B13227" w:rsidRPr="00B13227" w:rsidRDefault="00B13227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B13227">
        <w:rPr>
          <w:rFonts w:ascii="Arial" w:hAnsi="Arial" w:cs="Arial"/>
          <w:sz w:val="18"/>
          <w:szCs w:val="18"/>
        </w:rPr>
        <w:t>który naruszył obowiązki dotyczące płatności podatków, opłat lub składek na ubezpieczenia</w:t>
      </w:r>
      <w:r>
        <w:rPr>
          <w:rFonts w:ascii="Arial" w:hAnsi="Arial" w:cs="Arial"/>
          <w:sz w:val="18"/>
          <w:szCs w:val="18"/>
        </w:rPr>
        <w:t xml:space="preserve"> spo</w:t>
      </w:r>
      <w:r w:rsidRPr="00B13227">
        <w:rPr>
          <w:rFonts w:ascii="Arial" w:hAnsi="Arial" w:cs="Arial"/>
          <w:sz w:val="18"/>
          <w:szCs w:val="18"/>
        </w:rPr>
        <w:t>łeczne lub zdr</w:t>
      </w:r>
      <w:r w:rsidRPr="00B13227">
        <w:rPr>
          <w:rFonts w:ascii="Arial" w:hAnsi="Arial" w:cs="Arial"/>
          <w:sz w:val="18"/>
          <w:szCs w:val="18"/>
        </w:rPr>
        <w:t>o</w:t>
      </w:r>
      <w:r w:rsidRPr="00B13227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B13227">
        <w:rPr>
          <w:rFonts w:ascii="Arial" w:hAnsi="Arial" w:cs="Arial"/>
          <w:sz w:val="18"/>
          <w:szCs w:val="18"/>
        </w:rPr>
        <w:t>t</w:t>
      </w:r>
      <w:r w:rsidRPr="00B13227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</w:t>
      </w:r>
    </w:p>
    <w:p w14:paraId="2E758FA2" w14:textId="6C15877A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FA5B8C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który, z przyczyn leżących po jego stronie, w znacznym stopniu lub zakresie nie wykonał lub nie-należycie wyk</w:t>
      </w:r>
      <w:r w:rsidRPr="00FA5B8C">
        <w:rPr>
          <w:rFonts w:ascii="Arial" w:hAnsi="Arial" w:cs="Arial"/>
          <w:color w:val="auto"/>
          <w:sz w:val="18"/>
          <w:szCs w:val="18"/>
        </w:rPr>
        <w:t>o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FA5B8C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lastRenderedPageBreak/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59F24" w14:textId="77777777" w:rsidR="007D5790" w:rsidRDefault="007D5790">
      <w:r>
        <w:separator/>
      </w:r>
    </w:p>
  </w:endnote>
  <w:endnote w:type="continuationSeparator" w:id="0">
    <w:p w14:paraId="28EF21D6" w14:textId="77777777" w:rsidR="007D5790" w:rsidRDefault="007D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E4C1" w14:textId="77777777" w:rsidR="007D5790" w:rsidRDefault="007D5790">
      <w:r>
        <w:separator/>
      </w:r>
    </w:p>
  </w:footnote>
  <w:footnote w:type="continuationSeparator" w:id="0">
    <w:p w14:paraId="656ECE00" w14:textId="77777777" w:rsidR="007D5790" w:rsidRDefault="007D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37FE2D0" w:rsidR="00BC3ECE" w:rsidRDefault="00B4589C" w:rsidP="000A6A5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A6A5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F1EC8"/>
    <w:rsid w:val="0055100E"/>
    <w:rsid w:val="0065128F"/>
    <w:rsid w:val="006F6CC7"/>
    <w:rsid w:val="00731C0B"/>
    <w:rsid w:val="007D5790"/>
    <w:rsid w:val="00802113"/>
    <w:rsid w:val="008372C3"/>
    <w:rsid w:val="008F16BC"/>
    <w:rsid w:val="00916E5D"/>
    <w:rsid w:val="009246E7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3ECE"/>
    <w:rsid w:val="00CB4A1D"/>
    <w:rsid w:val="00CC4135"/>
    <w:rsid w:val="00D76C68"/>
    <w:rsid w:val="00D81667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8529-632F-435E-811E-270C330A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33</cp:revision>
  <cp:lastPrinted>2022-03-02T14:24:00Z</cp:lastPrinted>
  <dcterms:created xsi:type="dcterms:W3CDTF">2020-12-17T17:45:00Z</dcterms:created>
  <dcterms:modified xsi:type="dcterms:W3CDTF">2023-02-13T10:48:00Z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