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7441" w14:textId="4B11E1C1" w:rsidR="00BE269B" w:rsidRPr="005E728C" w:rsidRDefault="005E728C" w:rsidP="005E728C">
      <w:pPr>
        <w:pStyle w:val="Akapitzlist"/>
        <w:spacing w:after="120"/>
        <w:ind w:left="357"/>
        <w:rPr>
          <w:rFonts w:ascii="Bookman Old Style" w:hAnsi="Bookman Old Style" w:cs="Calibri"/>
          <w:b/>
          <w:sz w:val="20"/>
          <w:szCs w:val="20"/>
        </w:rPr>
      </w:pPr>
      <w:r w:rsidRPr="005E728C">
        <w:rPr>
          <w:rFonts w:ascii="Bookman Old Style" w:hAnsi="Bookman Old Style" w:cs="Calibri"/>
          <w:b/>
          <w:sz w:val="20"/>
          <w:szCs w:val="20"/>
        </w:rPr>
        <w:t>Zakup i dostawa odczynników wraz z dzierżawą analizatora do oznaczeń immunoglobulin i białek specyficznyc</w:t>
      </w:r>
      <w:r>
        <w:rPr>
          <w:rFonts w:ascii="Bookman Old Style" w:hAnsi="Bookman Old Style" w:cs="Calibri"/>
          <w:b/>
          <w:sz w:val="20"/>
          <w:szCs w:val="20"/>
        </w:rPr>
        <w:t xml:space="preserve">h metodą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immunoturbidymetryczną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r w:rsidR="00163ECD" w:rsidRPr="005E728C">
        <w:rPr>
          <w:rFonts w:ascii="Bookman Old Style" w:hAnsi="Bookman Old Style" w:cs="MS Sans Serif"/>
          <w:b/>
          <w:sz w:val="20"/>
          <w:szCs w:val="20"/>
        </w:rPr>
        <w:t xml:space="preserve">na </w:t>
      </w:r>
      <w:r w:rsidR="004F0730">
        <w:rPr>
          <w:rFonts w:ascii="Bookman Old Style" w:hAnsi="Bookman Old Style" w:cs="MS Sans Serif"/>
          <w:b/>
          <w:sz w:val="20"/>
          <w:szCs w:val="20"/>
        </w:rPr>
        <w:t xml:space="preserve">okres </w:t>
      </w:r>
      <w:r w:rsidR="00163ECD" w:rsidRPr="005E728C">
        <w:rPr>
          <w:rFonts w:ascii="Bookman Old Style" w:hAnsi="Bookman Old Style" w:cs="MS Sans Serif"/>
          <w:b/>
          <w:sz w:val="20"/>
          <w:szCs w:val="20"/>
        </w:rPr>
        <w:t>36 miesięcy</w:t>
      </w:r>
    </w:p>
    <w:p w14:paraId="5F7E8D65" w14:textId="77777777" w:rsidR="00163ECD" w:rsidRPr="008E6C08" w:rsidRDefault="00163ECD" w:rsidP="00BE269B">
      <w:pPr>
        <w:tabs>
          <w:tab w:val="num" w:pos="426"/>
        </w:tabs>
        <w:ind w:right="-142"/>
        <w:jc w:val="center"/>
        <w:rPr>
          <w:rFonts w:ascii="Bookman Old Style" w:hAnsi="Bookman Old Style" w:cs="Arial"/>
          <w:b/>
          <w:sz w:val="20"/>
          <w:szCs w:val="20"/>
          <w:lang w:val="fr-FR"/>
        </w:rPr>
      </w:pPr>
    </w:p>
    <w:p w14:paraId="19E227E0" w14:textId="7B253618" w:rsidR="00BE269B" w:rsidRPr="008E6C08" w:rsidRDefault="00E145C8" w:rsidP="00BE269B">
      <w:pPr>
        <w:rPr>
          <w:rFonts w:ascii="Bookman Old Style" w:hAnsi="Bookman Old Style" w:cs="Arial"/>
          <w:b/>
          <w:sz w:val="20"/>
          <w:szCs w:val="20"/>
          <w:lang w:val="fr-FR"/>
        </w:rPr>
      </w:pPr>
      <w:r w:rsidRPr="008E6C08">
        <w:rPr>
          <w:rFonts w:ascii="Bookman Old Style" w:hAnsi="Bookman Old Style" w:cs="Arial"/>
          <w:b/>
          <w:sz w:val="20"/>
          <w:szCs w:val="20"/>
          <w:lang w:val="fr-FR"/>
        </w:rPr>
        <w:t>Wymagania graniczne dotyczące a</w:t>
      </w:r>
      <w:r w:rsidR="0040352E">
        <w:rPr>
          <w:rFonts w:ascii="Bookman Old Style" w:hAnsi="Bookman Old Style" w:cs="Arial"/>
          <w:b/>
          <w:sz w:val="20"/>
          <w:szCs w:val="20"/>
          <w:lang w:val="fr-FR"/>
        </w:rPr>
        <w:t>paratu</w:t>
      </w:r>
      <w:r w:rsidRPr="008E6C08">
        <w:rPr>
          <w:rFonts w:ascii="Bookman Old Style" w:hAnsi="Bookman Old Style" w:cs="Arial"/>
          <w:b/>
          <w:sz w:val="20"/>
          <w:szCs w:val="20"/>
          <w:lang w:val="fr-FR"/>
        </w:rPr>
        <w:t xml:space="preserve"> i odczynników:</w:t>
      </w:r>
    </w:p>
    <w:p w14:paraId="100A0A34" w14:textId="77777777" w:rsidR="00E145C8" w:rsidRPr="008E6C08" w:rsidRDefault="00E145C8" w:rsidP="00BE269B">
      <w:pPr>
        <w:rPr>
          <w:rFonts w:ascii="Bookman Old Style" w:hAnsi="Bookman Old Style"/>
          <w:sz w:val="20"/>
          <w:szCs w:val="20"/>
          <w:lang w:val="fr-FR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9498"/>
        <w:gridCol w:w="2384"/>
        <w:gridCol w:w="2544"/>
      </w:tblGrid>
      <w:tr w:rsidR="00BE269B" w:rsidRPr="008E6C08" w14:paraId="1D27C419" w14:textId="77777777" w:rsidTr="00E873F0">
        <w:trPr>
          <w:tblHeader/>
        </w:trPr>
        <w:tc>
          <w:tcPr>
            <w:tcW w:w="577" w:type="dxa"/>
            <w:shd w:val="clear" w:color="auto" w:fill="C0C0C0"/>
            <w:vAlign w:val="center"/>
          </w:tcPr>
          <w:p w14:paraId="14207D57" w14:textId="77777777" w:rsidR="00BE269B" w:rsidRPr="008E6C08" w:rsidRDefault="00BE269B" w:rsidP="00AB4EA7">
            <w:pPr>
              <w:spacing w:before="60" w:after="60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8E6C08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498" w:type="dxa"/>
            <w:shd w:val="clear" w:color="auto" w:fill="C0C0C0"/>
            <w:vAlign w:val="center"/>
          </w:tcPr>
          <w:p w14:paraId="3D753897" w14:textId="77777777" w:rsidR="00BE269B" w:rsidRPr="008E6C08" w:rsidRDefault="00BE269B" w:rsidP="00AB4EA7">
            <w:pPr>
              <w:spacing w:before="60" w:after="6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b/>
                <w:sz w:val="20"/>
                <w:szCs w:val="20"/>
              </w:rPr>
              <w:t>PARAMETRY WYMAGANE</w:t>
            </w:r>
          </w:p>
        </w:tc>
        <w:tc>
          <w:tcPr>
            <w:tcW w:w="2384" w:type="dxa"/>
            <w:shd w:val="clear" w:color="auto" w:fill="C0C0C0"/>
            <w:vAlign w:val="center"/>
          </w:tcPr>
          <w:p w14:paraId="5508C55B" w14:textId="11269A50" w:rsidR="00BE269B" w:rsidRPr="008E6C08" w:rsidRDefault="00126CA5" w:rsidP="00AB4EA7">
            <w:pPr>
              <w:spacing w:before="80" w:after="8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Zakres wymagań</w:t>
            </w:r>
          </w:p>
        </w:tc>
        <w:tc>
          <w:tcPr>
            <w:tcW w:w="2544" w:type="dxa"/>
            <w:shd w:val="clear" w:color="auto" w:fill="C0C0C0"/>
          </w:tcPr>
          <w:p w14:paraId="4C881F5B" w14:textId="77777777" w:rsidR="00BE269B" w:rsidRPr="008E6C08" w:rsidRDefault="00BE269B" w:rsidP="00AB4EA7">
            <w:pPr>
              <w:spacing w:before="80" w:after="8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b/>
                <w:sz w:val="20"/>
                <w:szCs w:val="20"/>
              </w:rPr>
              <w:t>OFEROWANE</w:t>
            </w:r>
          </w:p>
        </w:tc>
      </w:tr>
      <w:tr w:rsidR="00BE269B" w:rsidRPr="008E6C08" w14:paraId="333CC8C1" w14:textId="77777777" w:rsidTr="007D5A55">
        <w:trPr>
          <w:trHeight w:val="350"/>
        </w:trPr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199AA4FD" w14:textId="1FCC116B" w:rsidR="00BE269B" w:rsidRPr="008E6C08" w:rsidRDefault="00DC61E0" w:rsidP="00E873F0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36C827B2" w14:textId="7D27CBCC" w:rsidR="004C0F1A" w:rsidRPr="008E6C08" w:rsidRDefault="00E349B9" w:rsidP="00922AC1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E349B9">
              <w:rPr>
                <w:rFonts w:ascii="Bookman Old Style" w:hAnsi="Bookman Old Style"/>
                <w:b/>
                <w:sz w:val="20"/>
                <w:szCs w:val="20"/>
              </w:rPr>
              <w:t xml:space="preserve">Najem na okres 36 miesięcy analizatora do oznaczeń immunoglobulin i białek specyficznych metodą </w:t>
            </w:r>
            <w:proofErr w:type="spellStart"/>
            <w:r w:rsidRPr="00E349B9">
              <w:rPr>
                <w:rFonts w:ascii="Bookman Old Style" w:hAnsi="Bookman Old Style"/>
                <w:b/>
                <w:sz w:val="20"/>
                <w:szCs w:val="20"/>
              </w:rPr>
              <w:t>immunoturbidymetrii</w:t>
            </w:r>
            <w:proofErr w:type="spellEnd"/>
            <w:r w:rsidRPr="00E349B9">
              <w:rPr>
                <w:rFonts w:ascii="Bookman Old Style" w:hAnsi="Bookman Old Style"/>
                <w:sz w:val="20"/>
                <w:szCs w:val="20"/>
              </w:rPr>
              <w:t xml:space="preserve"> o parametrach wg poniższych wymagań.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37A7AE5B" w14:textId="325D3D21" w:rsidR="00BE269B" w:rsidRPr="008E6C08" w:rsidRDefault="00922AC1" w:rsidP="00AB4E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14:paraId="36D8B8F8" w14:textId="77777777" w:rsidR="00BE269B" w:rsidRPr="008E6C08" w:rsidRDefault="00BE269B" w:rsidP="00AB4EA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C61E0" w:rsidRPr="008E6C08" w14:paraId="5B65A91B" w14:textId="77777777" w:rsidTr="00E873F0">
        <w:trPr>
          <w:trHeight w:val="440"/>
        </w:trPr>
        <w:tc>
          <w:tcPr>
            <w:tcW w:w="577" w:type="dxa"/>
            <w:vAlign w:val="center"/>
          </w:tcPr>
          <w:p w14:paraId="0BD8150B" w14:textId="6FE1F7EC" w:rsidR="00DC61E0" w:rsidRPr="008E6C08" w:rsidRDefault="00DC61E0" w:rsidP="00DC61E0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1.</w:t>
            </w:r>
            <w:r w:rsidR="00A362C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498" w:type="dxa"/>
            <w:vAlign w:val="center"/>
          </w:tcPr>
          <w:p w14:paraId="458BF7D3" w14:textId="77777777" w:rsidR="00020403" w:rsidRPr="008E6C08" w:rsidRDefault="00020403" w:rsidP="00020403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W kwocie zaoferowanego Zamówienia Wykonawca zobowiązuje się do:</w:t>
            </w:r>
          </w:p>
          <w:p w14:paraId="59247DCE" w14:textId="77777777" w:rsidR="000A077C" w:rsidRDefault="00020403" w:rsidP="000A077C">
            <w:pPr>
              <w:pStyle w:val="Akapitzlist"/>
              <w:numPr>
                <w:ilvl w:val="0"/>
                <w:numId w:val="3"/>
              </w:numPr>
              <w:spacing w:before="60" w:after="60"/>
              <w:ind w:left="349" w:hanging="284"/>
              <w:rPr>
                <w:rFonts w:ascii="Bookman Old Style" w:hAnsi="Bookman Old Style"/>
                <w:sz w:val="20"/>
                <w:szCs w:val="20"/>
              </w:rPr>
            </w:pPr>
            <w:r w:rsidRPr="000A077C">
              <w:rPr>
                <w:rFonts w:ascii="Bookman Old Style" w:hAnsi="Bookman Old Style"/>
                <w:sz w:val="20"/>
                <w:szCs w:val="20"/>
              </w:rPr>
              <w:t xml:space="preserve">dostarczenia opisu interfejsu pozwalającego na </w:t>
            </w:r>
            <w:r w:rsidR="00922AC1" w:rsidRPr="000A077C">
              <w:rPr>
                <w:rFonts w:ascii="Bookman Old Style" w:hAnsi="Bookman Old Style"/>
                <w:sz w:val="20"/>
                <w:szCs w:val="20"/>
              </w:rPr>
              <w:t xml:space="preserve">podłączenie analizatora </w:t>
            </w:r>
            <w:r w:rsidRPr="000A077C">
              <w:rPr>
                <w:rFonts w:ascii="Bookman Old Style" w:hAnsi="Bookman Old Style"/>
                <w:sz w:val="20"/>
                <w:szCs w:val="20"/>
              </w:rPr>
              <w:t>do posiadanego przez Zamawiającego Laboratoryjnego Systemu Informatycznego (e-lab)</w:t>
            </w:r>
          </w:p>
          <w:p w14:paraId="24426F3A" w14:textId="2A590295" w:rsidR="000A077C" w:rsidRPr="000A077C" w:rsidRDefault="00F512BD" w:rsidP="000A077C">
            <w:pPr>
              <w:pStyle w:val="Akapitzlist"/>
              <w:numPr>
                <w:ilvl w:val="0"/>
                <w:numId w:val="3"/>
              </w:numPr>
              <w:spacing w:before="60" w:after="60"/>
              <w:ind w:left="349" w:hanging="28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podłączenia analizatora </w:t>
            </w:r>
            <w:r w:rsidR="00020403" w:rsidRPr="000A077C">
              <w:rPr>
                <w:rFonts w:ascii="Bookman Old Style" w:hAnsi="Bookman Old Style"/>
                <w:sz w:val="20"/>
                <w:szCs w:val="20"/>
              </w:rPr>
              <w:t>do posiadanego przez Zamawiającego systemu informatycznego</w:t>
            </w:r>
            <w:r w:rsidR="000A077C" w:rsidRPr="000A077C">
              <w:rPr>
                <w:rFonts w:ascii="Bookman Old Style" w:hAnsi="Bookman Old Style"/>
                <w:sz w:val="20"/>
                <w:szCs w:val="20"/>
              </w:rPr>
              <w:t xml:space="preserve"> LSI</w:t>
            </w:r>
          </w:p>
          <w:p w14:paraId="7A7E42C3" w14:textId="11957510" w:rsidR="000A077C" w:rsidRPr="000A077C" w:rsidRDefault="000A077C" w:rsidP="00020403">
            <w:pPr>
              <w:pStyle w:val="Akapitzlist"/>
              <w:numPr>
                <w:ilvl w:val="0"/>
                <w:numId w:val="2"/>
              </w:numPr>
              <w:spacing w:before="60" w:after="60"/>
              <w:ind w:left="349" w:hanging="284"/>
              <w:rPr>
                <w:rFonts w:ascii="Bookman Old Style" w:hAnsi="Bookman Old Style"/>
                <w:sz w:val="20"/>
                <w:szCs w:val="20"/>
              </w:rPr>
            </w:pPr>
            <w:r w:rsidRPr="000A077C">
              <w:rPr>
                <w:rFonts w:ascii="Bookman Old Style" w:hAnsi="Bookman Old Style"/>
                <w:color w:val="000000"/>
                <w:sz w:val="20"/>
                <w:szCs w:val="20"/>
              </w:rPr>
              <w:t>dwustronna komunikacja analizatora z istniejącym Laboratoryjn</w:t>
            </w:r>
            <w:r w:rsidR="00A362C2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ym Systemem Informatycznym </w:t>
            </w:r>
            <w:r w:rsidR="00A362C2" w:rsidRPr="000A077C">
              <w:rPr>
                <w:rFonts w:ascii="Bookman Old Style" w:hAnsi="Bookman Old Style"/>
                <w:color w:val="000000"/>
                <w:sz w:val="20"/>
                <w:szCs w:val="20"/>
              </w:rPr>
              <w:t>Zamawiającego</w:t>
            </w:r>
            <w:r w:rsidR="00A362C2">
              <w:rPr>
                <w:rFonts w:ascii="Bookman Old Style" w:hAnsi="Bookman Old Style"/>
                <w:sz w:val="20"/>
                <w:szCs w:val="20"/>
              </w:rPr>
              <w:t xml:space="preserve"> e-lab </w:t>
            </w:r>
            <w:r w:rsidR="00A362C2" w:rsidRPr="008E6C08">
              <w:rPr>
                <w:rFonts w:ascii="Bookman Old Style" w:hAnsi="Bookman Old Style"/>
                <w:sz w:val="20"/>
                <w:szCs w:val="20"/>
              </w:rPr>
              <w:t xml:space="preserve">(firma </w:t>
            </w:r>
            <w:proofErr w:type="spellStart"/>
            <w:r w:rsidR="00A362C2" w:rsidRPr="008E6C08">
              <w:rPr>
                <w:rFonts w:ascii="Bookman Old Style" w:hAnsi="Bookman Old Style"/>
                <w:sz w:val="20"/>
                <w:szCs w:val="20"/>
              </w:rPr>
              <w:t>Eclipse</w:t>
            </w:r>
            <w:proofErr w:type="spellEnd"/>
            <w:r w:rsidR="00A362C2" w:rsidRPr="008E6C08">
              <w:rPr>
                <w:rFonts w:ascii="Bookman Old Style" w:hAnsi="Bookman Old Style"/>
                <w:sz w:val="20"/>
                <w:szCs w:val="20"/>
              </w:rPr>
              <w:t>)</w:t>
            </w:r>
            <w:r w:rsidRPr="000A077C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. </w:t>
            </w:r>
          </w:p>
          <w:p w14:paraId="70165F7A" w14:textId="77777777" w:rsidR="000A077C" w:rsidRDefault="00020403" w:rsidP="00020403">
            <w:pPr>
              <w:pStyle w:val="Akapitzlist"/>
              <w:numPr>
                <w:ilvl w:val="0"/>
                <w:numId w:val="2"/>
              </w:numPr>
              <w:spacing w:before="60" w:after="60"/>
              <w:ind w:left="349" w:hanging="284"/>
              <w:rPr>
                <w:rFonts w:ascii="Bookman Old Style" w:hAnsi="Bookman Old Style"/>
                <w:sz w:val="20"/>
                <w:szCs w:val="20"/>
              </w:rPr>
            </w:pPr>
            <w:r w:rsidRPr="000A077C">
              <w:rPr>
                <w:rFonts w:ascii="Bookman Old Style" w:hAnsi="Bookman Old Style"/>
                <w:sz w:val="20"/>
                <w:szCs w:val="20"/>
              </w:rPr>
              <w:t>wykonywania w czasie trwania umowy okresowych przeglądów technicznych (zgodnie z zaleceniami producenta urządzenia), obejmujących: dojazd, pracę inżyniera, wszystkie części zużywalne i zamienne,</w:t>
            </w:r>
          </w:p>
          <w:p w14:paraId="1AEEA2E4" w14:textId="77777777" w:rsidR="00F94071" w:rsidRDefault="00F512BD" w:rsidP="00F94071">
            <w:pPr>
              <w:pStyle w:val="Akapitzlist"/>
              <w:numPr>
                <w:ilvl w:val="0"/>
                <w:numId w:val="2"/>
              </w:numPr>
              <w:spacing w:before="60" w:after="60"/>
              <w:ind w:left="349" w:hanging="28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serwisowania analizatora </w:t>
            </w:r>
            <w:r w:rsidR="00020403" w:rsidRPr="000A077C">
              <w:rPr>
                <w:rFonts w:ascii="Bookman Old Style" w:hAnsi="Bookman Old Style"/>
                <w:sz w:val="20"/>
                <w:szCs w:val="20"/>
              </w:rPr>
              <w:t xml:space="preserve">przez cały okres dzierżawy obejmujące: </w:t>
            </w:r>
            <w:r w:rsidR="00F94071">
              <w:rPr>
                <w:rFonts w:ascii="Bookman Old Style" w:hAnsi="Bookman Old Style"/>
                <w:sz w:val="20"/>
                <w:szCs w:val="20"/>
              </w:rPr>
              <w:t xml:space="preserve">przeglądy, </w:t>
            </w:r>
            <w:r w:rsidR="00020403" w:rsidRPr="000A077C">
              <w:rPr>
                <w:rFonts w:ascii="Bookman Old Style" w:hAnsi="Bookman Old Style"/>
                <w:sz w:val="20"/>
                <w:szCs w:val="20"/>
              </w:rPr>
              <w:t>dojazd, pracę inżyniera serwisu, wszystkie części zużywalne i zamienne oraz niezbędne akcesoria (np. wężyki, przewody odczynnikowe, igły, zawory, elementy mechaniczne i elektryczne modułów) związane z bieżącą pracą oferowanych modułów.</w:t>
            </w:r>
          </w:p>
          <w:p w14:paraId="7E39F2F6" w14:textId="5546DF3A" w:rsidR="00F94071" w:rsidRPr="00F94071" w:rsidRDefault="00F94071" w:rsidP="00F94071">
            <w:pPr>
              <w:pStyle w:val="Akapitzlist"/>
              <w:spacing w:before="60" w:after="60"/>
              <w:ind w:left="349"/>
              <w:rPr>
                <w:rFonts w:ascii="Bookman Old Style" w:hAnsi="Bookman Old Style"/>
                <w:sz w:val="20"/>
                <w:szCs w:val="20"/>
              </w:rPr>
            </w:pPr>
            <w:r w:rsidRPr="00F94071">
              <w:rPr>
                <w:rFonts w:ascii="Bookman Old Style" w:hAnsi="Bookman Old Style"/>
                <w:sz w:val="20"/>
                <w:szCs w:val="20"/>
              </w:rPr>
              <w:t>Paszport techniczny dostarczyć wraz z przedmiotem zamówienia.</w:t>
            </w:r>
          </w:p>
          <w:p w14:paraId="7BAC0CAD" w14:textId="102ABEBB" w:rsidR="00F94071" w:rsidRPr="00F94071" w:rsidRDefault="00F94071" w:rsidP="00F94071">
            <w:pPr>
              <w:pStyle w:val="Akapitzlist"/>
              <w:spacing w:before="60" w:after="60"/>
              <w:ind w:left="349"/>
              <w:rPr>
                <w:rFonts w:ascii="Bookman Old Style" w:hAnsi="Bookman Old Style"/>
                <w:sz w:val="20"/>
                <w:szCs w:val="20"/>
              </w:rPr>
            </w:pPr>
            <w:r w:rsidRPr="00F94071">
              <w:rPr>
                <w:rFonts w:ascii="Bookman Old Style" w:hAnsi="Bookman Old Style"/>
                <w:sz w:val="20"/>
                <w:szCs w:val="20"/>
              </w:rPr>
              <w:t>Podać wymaganą przez producenta częstość przeglądów.</w:t>
            </w:r>
          </w:p>
        </w:tc>
        <w:tc>
          <w:tcPr>
            <w:tcW w:w="2384" w:type="dxa"/>
            <w:vAlign w:val="center"/>
          </w:tcPr>
          <w:p w14:paraId="126F4635" w14:textId="4B8C0628" w:rsidR="00DC61E0" w:rsidRPr="008E6C08" w:rsidRDefault="00406D6B" w:rsidP="00DC61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Tak. Wykonawca wraz z dzierżawą analizatora dostarczy bezpłatnie protokół transmisji danych w formie elektronicznej i/lub pisemnej</w:t>
            </w:r>
          </w:p>
        </w:tc>
        <w:tc>
          <w:tcPr>
            <w:tcW w:w="2544" w:type="dxa"/>
          </w:tcPr>
          <w:p w14:paraId="51E50E62" w14:textId="77777777" w:rsidR="00DC61E0" w:rsidRPr="008E6C08" w:rsidRDefault="00DC61E0" w:rsidP="00DC61E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077C" w:rsidRPr="008E6C08" w14:paraId="6D5474B1" w14:textId="77777777" w:rsidTr="00E873F0">
        <w:trPr>
          <w:trHeight w:val="440"/>
        </w:trPr>
        <w:tc>
          <w:tcPr>
            <w:tcW w:w="577" w:type="dxa"/>
            <w:vAlign w:val="center"/>
          </w:tcPr>
          <w:p w14:paraId="394A5D1B" w14:textId="07DF377E" w:rsidR="000A077C" w:rsidRPr="008E6C08" w:rsidRDefault="00F512BD" w:rsidP="00DC61E0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1.2</w:t>
            </w:r>
          </w:p>
        </w:tc>
        <w:tc>
          <w:tcPr>
            <w:tcW w:w="9498" w:type="dxa"/>
            <w:vAlign w:val="center"/>
          </w:tcPr>
          <w:p w14:paraId="2A32C445" w14:textId="77777777" w:rsidR="000A077C" w:rsidRPr="000A077C" w:rsidRDefault="000A077C" w:rsidP="000A077C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0A077C">
              <w:rPr>
                <w:rFonts w:ascii="Bookman Old Style" w:hAnsi="Bookman Old Style"/>
                <w:sz w:val="20"/>
                <w:szCs w:val="20"/>
              </w:rPr>
              <w:t xml:space="preserve">Dodatkowy zestaw komputerowy (poza komputerem obsługującym program analizatora), umożliwiający dwustronną komunikację analizatora z LSI Zamawiającego i przesyłanie wyników badań do LSI. </w:t>
            </w:r>
          </w:p>
          <w:p w14:paraId="29E0C989" w14:textId="5E29C207" w:rsidR="00F512BD" w:rsidRDefault="000A077C" w:rsidP="000A077C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0A077C">
              <w:rPr>
                <w:rFonts w:ascii="Bookman Old Style" w:hAnsi="Bookman Old Style"/>
                <w:sz w:val="20"/>
                <w:szCs w:val="20"/>
              </w:rPr>
              <w:t xml:space="preserve">Skład zestawu: </w:t>
            </w:r>
          </w:p>
          <w:p w14:paraId="74E2A8BA" w14:textId="03CC7F51" w:rsidR="000A077C" w:rsidRPr="008E6C08" w:rsidRDefault="000A077C" w:rsidP="00F512BD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0A077C">
              <w:rPr>
                <w:rFonts w:ascii="Bookman Old Style" w:hAnsi="Bookman Old Style"/>
                <w:sz w:val="20"/>
                <w:szCs w:val="20"/>
              </w:rPr>
              <w:t>komputer, klawiatura, mysz optyczna, monitor LCD o przekątnej minimum 24″, system o</w:t>
            </w:r>
            <w:r>
              <w:rPr>
                <w:rFonts w:ascii="Bookman Old Style" w:hAnsi="Bookman Old Style"/>
                <w:sz w:val="20"/>
                <w:szCs w:val="20"/>
              </w:rPr>
              <w:t>peracyjn</w:t>
            </w:r>
            <w:r w:rsidR="00A362C2">
              <w:rPr>
                <w:rFonts w:ascii="Bookman Old Style" w:hAnsi="Bookman Old Style"/>
                <w:sz w:val="20"/>
                <w:szCs w:val="20"/>
              </w:rPr>
              <w:t>y najnowszej generacji, pakiet</w:t>
            </w:r>
            <w:r w:rsidR="00A362C2">
              <w:t xml:space="preserve"> </w:t>
            </w:r>
            <w:r w:rsidR="00A362C2">
              <w:rPr>
                <w:rFonts w:ascii="Bookman Old Style" w:hAnsi="Bookman Old Style"/>
                <w:sz w:val="20"/>
                <w:szCs w:val="20"/>
              </w:rPr>
              <w:t>Microsoft O</w:t>
            </w:r>
            <w:r>
              <w:rPr>
                <w:rFonts w:ascii="Bookman Old Style" w:hAnsi="Bookman Old Style"/>
                <w:sz w:val="20"/>
                <w:szCs w:val="20"/>
              </w:rPr>
              <w:t>ffice</w:t>
            </w:r>
            <w:r w:rsidR="00456263">
              <w:rPr>
                <w:rFonts w:ascii="Bookman Old Style" w:hAnsi="Bookman Old Style"/>
                <w:sz w:val="20"/>
                <w:szCs w:val="20"/>
              </w:rPr>
              <w:t>, drukarka</w:t>
            </w:r>
          </w:p>
        </w:tc>
        <w:tc>
          <w:tcPr>
            <w:tcW w:w="2384" w:type="dxa"/>
            <w:vAlign w:val="center"/>
          </w:tcPr>
          <w:p w14:paraId="366FD232" w14:textId="39164BCA" w:rsidR="000A077C" w:rsidRPr="008E6C08" w:rsidRDefault="00F140D5" w:rsidP="00DC61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7ADF8DEB" w14:textId="77777777" w:rsidR="000A077C" w:rsidRPr="008E6C08" w:rsidRDefault="000A077C" w:rsidP="00DC61E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C61E0" w:rsidRPr="008E6C08" w14:paraId="617350B3" w14:textId="77777777" w:rsidTr="00E873F0">
        <w:trPr>
          <w:trHeight w:val="460"/>
        </w:trPr>
        <w:tc>
          <w:tcPr>
            <w:tcW w:w="577" w:type="dxa"/>
            <w:vAlign w:val="center"/>
          </w:tcPr>
          <w:p w14:paraId="1FBB38F1" w14:textId="0D1DF9D2" w:rsidR="00DC61E0" w:rsidRPr="008E6C08" w:rsidRDefault="00DC61E0" w:rsidP="00DC61E0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1.</w:t>
            </w:r>
            <w:r w:rsidR="00CB12FF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498" w:type="dxa"/>
            <w:vAlign w:val="center"/>
          </w:tcPr>
          <w:p w14:paraId="6C842F05" w14:textId="10361728" w:rsidR="00DC61E0" w:rsidRPr="008E6C08" w:rsidRDefault="00F512BD" w:rsidP="00DC61E0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Analizator</w:t>
            </w:r>
            <w:r w:rsidR="000A077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B12FF">
              <w:rPr>
                <w:rFonts w:ascii="Bookman Old Style" w:hAnsi="Bookman Old Style"/>
                <w:sz w:val="20"/>
                <w:szCs w:val="20"/>
              </w:rPr>
              <w:t>w pełni kompletny, nie wymagający</w:t>
            </w:r>
            <w:r w:rsidR="00DC61E0" w:rsidRPr="008E6C08">
              <w:rPr>
                <w:rFonts w:ascii="Bookman Old Style" w:hAnsi="Bookman Old Style"/>
                <w:sz w:val="20"/>
                <w:szCs w:val="20"/>
              </w:rPr>
              <w:t xml:space="preserve"> żadnych dodatkowych inwestycji z bezpłatną aktualizacją oprogramowania podczas trwania umowy.</w:t>
            </w:r>
          </w:p>
        </w:tc>
        <w:tc>
          <w:tcPr>
            <w:tcW w:w="2384" w:type="dxa"/>
            <w:vAlign w:val="center"/>
          </w:tcPr>
          <w:p w14:paraId="260CB8DF" w14:textId="1AA45329" w:rsidR="00DC61E0" w:rsidRPr="008E6C08" w:rsidRDefault="002A0031" w:rsidP="00DC61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511D05C6" w14:textId="77777777" w:rsidR="00DC61E0" w:rsidRPr="008E6C08" w:rsidRDefault="00DC61E0" w:rsidP="00DC61E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12BD" w:rsidRPr="008E6C08" w14:paraId="6E57BB0F" w14:textId="77777777" w:rsidTr="00E873F0">
        <w:trPr>
          <w:trHeight w:val="460"/>
        </w:trPr>
        <w:tc>
          <w:tcPr>
            <w:tcW w:w="577" w:type="dxa"/>
            <w:vAlign w:val="center"/>
          </w:tcPr>
          <w:p w14:paraId="1C6EC3F7" w14:textId="41E1816E" w:rsidR="00F512BD" w:rsidRPr="008E6C08" w:rsidRDefault="00F512BD" w:rsidP="00DC61E0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1.4</w:t>
            </w:r>
          </w:p>
        </w:tc>
        <w:tc>
          <w:tcPr>
            <w:tcW w:w="9498" w:type="dxa"/>
            <w:vAlign w:val="center"/>
          </w:tcPr>
          <w:p w14:paraId="6060A5F5" w14:textId="1F651524" w:rsidR="00F512BD" w:rsidRDefault="00F512BD" w:rsidP="00DC61E0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Bezpłatne szkolenia użyt</w:t>
            </w:r>
            <w:r>
              <w:rPr>
                <w:rFonts w:ascii="Bookman Old Style" w:hAnsi="Bookman Old Style"/>
                <w:sz w:val="20"/>
                <w:szCs w:val="20"/>
              </w:rPr>
              <w:t>kowników z zakresu obsługi</w:t>
            </w:r>
            <w:r w:rsidRPr="008E6C08">
              <w:rPr>
                <w:rFonts w:ascii="Bookman Old Style" w:hAnsi="Bookman Old Style"/>
                <w:sz w:val="20"/>
                <w:szCs w:val="20"/>
              </w:rPr>
              <w:t xml:space="preserve"> oraz interpretacji wyników (min. 2 szkol</w:t>
            </w:r>
            <w:r>
              <w:rPr>
                <w:rFonts w:ascii="Bookman Old Style" w:hAnsi="Bookman Old Style"/>
                <w:sz w:val="20"/>
                <w:szCs w:val="20"/>
              </w:rPr>
              <w:t>enia) w miejscu instalacji</w:t>
            </w:r>
            <w:r w:rsidRPr="008E6C0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384" w:type="dxa"/>
            <w:vAlign w:val="center"/>
          </w:tcPr>
          <w:p w14:paraId="76CB8FED" w14:textId="1A4E2402" w:rsidR="00F512BD" w:rsidRPr="008E6C08" w:rsidRDefault="00F140D5" w:rsidP="00DC61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7A5D74D3" w14:textId="77777777" w:rsidR="00F512BD" w:rsidRPr="008E6C08" w:rsidRDefault="00F512BD" w:rsidP="00DC61E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7369" w:rsidRPr="008E6C08" w14:paraId="4C4C2E3D" w14:textId="77777777" w:rsidTr="00E873F0">
        <w:trPr>
          <w:trHeight w:val="461"/>
        </w:trPr>
        <w:tc>
          <w:tcPr>
            <w:tcW w:w="577" w:type="dxa"/>
            <w:vAlign w:val="center"/>
          </w:tcPr>
          <w:p w14:paraId="5397A8CB" w14:textId="0E9C99C3" w:rsidR="007F7369" w:rsidRPr="008E6C08" w:rsidRDefault="007F7369" w:rsidP="00DC61E0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1.</w:t>
            </w:r>
            <w:r w:rsidR="00F512BD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498" w:type="dxa"/>
            <w:vAlign w:val="center"/>
          </w:tcPr>
          <w:p w14:paraId="431D0D39" w14:textId="77777777" w:rsidR="00A57B10" w:rsidRPr="002E43AB" w:rsidRDefault="00A57B10" w:rsidP="00A57B10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2E43AB">
              <w:rPr>
                <w:rFonts w:ascii="Bookman Old Style" w:hAnsi="Bookman Old Style" w:cs="Tahoma"/>
                <w:sz w:val="20"/>
                <w:szCs w:val="20"/>
              </w:rPr>
              <w:t>Możliwość zgłaszania w dni robocze w godzinach 8:00 – 16:00.</w:t>
            </w:r>
          </w:p>
          <w:p w14:paraId="7C335EE4" w14:textId="7737C15E" w:rsidR="007F7369" w:rsidRPr="008E6C08" w:rsidRDefault="00A57B10" w:rsidP="00DC61E0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2E43AB">
              <w:rPr>
                <w:rFonts w:ascii="Bookman Old Style" w:hAnsi="Bookman Old Style"/>
                <w:sz w:val="20"/>
                <w:szCs w:val="20"/>
              </w:rPr>
              <w:t>Podać dane kontaktowe niezbędne do zgłaszania uwag, usterek, awarii (mail, nr telefonu).</w:t>
            </w:r>
          </w:p>
        </w:tc>
        <w:tc>
          <w:tcPr>
            <w:tcW w:w="2384" w:type="dxa"/>
            <w:vAlign w:val="center"/>
          </w:tcPr>
          <w:p w14:paraId="59CC474A" w14:textId="7E6A6C52" w:rsidR="007F7369" w:rsidRPr="008E6C08" w:rsidRDefault="00A57B10" w:rsidP="00A57B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0CD7C278" w14:textId="77777777" w:rsidR="007F7369" w:rsidRPr="008E6C08" w:rsidRDefault="007F7369" w:rsidP="00DC61E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7B10" w:rsidRPr="008E6C08" w14:paraId="18FA990E" w14:textId="77777777" w:rsidTr="00E873F0">
        <w:trPr>
          <w:trHeight w:val="461"/>
        </w:trPr>
        <w:tc>
          <w:tcPr>
            <w:tcW w:w="577" w:type="dxa"/>
            <w:vAlign w:val="center"/>
          </w:tcPr>
          <w:p w14:paraId="2C22F3F7" w14:textId="63BA2C0A" w:rsidR="00A57B10" w:rsidRPr="008E6C08" w:rsidRDefault="00F140D5" w:rsidP="00DC61E0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1.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498" w:type="dxa"/>
            <w:vAlign w:val="center"/>
          </w:tcPr>
          <w:p w14:paraId="6A60CCE3" w14:textId="77777777" w:rsidR="00A57B10" w:rsidRPr="008E6C08" w:rsidRDefault="00A57B10" w:rsidP="00A57B10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 xml:space="preserve">Interwencja serwisu na zgłoszenie awarii do 24 godzin. </w:t>
            </w:r>
          </w:p>
          <w:p w14:paraId="53F60972" w14:textId="1EA1004D" w:rsidR="00A57B10" w:rsidRPr="00A06BCB" w:rsidRDefault="00A57B10" w:rsidP="00A57B10">
            <w:pPr>
              <w:rPr>
                <w:rFonts w:ascii="Bookman Old Style" w:hAnsi="Bookman Old Style" w:cs="Tahoma"/>
                <w:strike/>
                <w:sz w:val="20"/>
                <w:szCs w:val="20"/>
              </w:rPr>
            </w:pPr>
            <w:r w:rsidRPr="00A06BCB">
              <w:rPr>
                <w:rFonts w:ascii="Bookman Old Style" w:hAnsi="Bookman Old Style"/>
                <w:strike/>
                <w:sz w:val="20"/>
                <w:szCs w:val="20"/>
              </w:rPr>
              <w:t>Możliwość dostępu serwisowego za pomocą połączenia on-line.</w:t>
            </w:r>
          </w:p>
        </w:tc>
        <w:tc>
          <w:tcPr>
            <w:tcW w:w="2384" w:type="dxa"/>
            <w:vAlign w:val="center"/>
          </w:tcPr>
          <w:p w14:paraId="20D53587" w14:textId="27664ABE" w:rsidR="00A57B10" w:rsidRDefault="00F140D5" w:rsidP="00A57B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2E735117" w14:textId="77777777" w:rsidR="00A57B10" w:rsidRPr="008E6C08" w:rsidRDefault="00A57B10" w:rsidP="00DC61E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539C7DE2" w14:textId="77777777" w:rsidTr="00E873F0">
        <w:trPr>
          <w:trHeight w:val="629"/>
        </w:trPr>
        <w:tc>
          <w:tcPr>
            <w:tcW w:w="577" w:type="dxa"/>
            <w:vAlign w:val="center"/>
          </w:tcPr>
          <w:p w14:paraId="5A7FB3CA" w14:textId="423D42C2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1.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9498" w:type="dxa"/>
            <w:vAlign w:val="center"/>
          </w:tcPr>
          <w:p w14:paraId="70213042" w14:textId="5D75236E" w:rsidR="00F140D5" w:rsidRPr="00A57B10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W przypadku trzykrotnej awarii tego samego zespołu /podzespołu w okresie obowiązywania umowy – wymiana aparatu na nowy o parametrach nie niższych niż oferowany, na koszt Wykonawcy</w:t>
            </w:r>
          </w:p>
        </w:tc>
        <w:tc>
          <w:tcPr>
            <w:tcW w:w="2384" w:type="dxa"/>
            <w:vAlign w:val="center"/>
          </w:tcPr>
          <w:p w14:paraId="4445590D" w14:textId="5CEC1DC8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337611FA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6D94BA7D" w14:textId="77777777" w:rsidTr="00E873F0">
        <w:trPr>
          <w:trHeight w:val="461"/>
        </w:trPr>
        <w:tc>
          <w:tcPr>
            <w:tcW w:w="577" w:type="dxa"/>
            <w:vAlign w:val="center"/>
          </w:tcPr>
          <w:p w14:paraId="40E2F4F2" w14:textId="531BBCBE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  <w:r w:rsidR="006859BA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9498" w:type="dxa"/>
            <w:vAlign w:val="center"/>
          </w:tcPr>
          <w:p w14:paraId="5DDBAF52" w14:textId="1D9773DE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Aktualne (zgodnie z obowiązującymi przepisami) karty charakterystyki substancji niebezpiecznych dla odczynników dostarczone wraz z pierwszą dostawą, w przypadku aktualizacji oraz na każde żądanie Zamawiającego</w:t>
            </w:r>
            <w:r w:rsidR="006859BA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384" w:type="dxa"/>
            <w:vAlign w:val="center"/>
          </w:tcPr>
          <w:p w14:paraId="4FE1BA99" w14:textId="4057F548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21C0694F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050BFE11" w14:textId="77777777" w:rsidTr="00E873F0">
        <w:trPr>
          <w:trHeight w:val="461"/>
        </w:trPr>
        <w:tc>
          <w:tcPr>
            <w:tcW w:w="577" w:type="dxa"/>
            <w:vAlign w:val="center"/>
          </w:tcPr>
          <w:p w14:paraId="6D6BD60D" w14:textId="68867E37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  <w:r w:rsidR="006859BA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9498" w:type="dxa"/>
            <w:vAlign w:val="center"/>
          </w:tcPr>
          <w:p w14:paraId="5CFFAF6D" w14:textId="0AD1CD17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0A077C">
              <w:rPr>
                <w:rFonts w:ascii="Bookman Old Style" w:hAnsi="Bookman Old Style"/>
                <w:sz w:val="20"/>
                <w:szCs w:val="20"/>
              </w:rPr>
              <w:t xml:space="preserve">Zasilanie systemu z sieci elektroenergetycznej 230 V AC 50 </w:t>
            </w:r>
            <w:proofErr w:type="spellStart"/>
            <w:r w:rsidRPr="000A077C">
              <w:rPr>
                <w:rFonts w:ascii="Bookman Old Style" w:hAnsi="Bookman Old Style"/>
                <w:sz w:val="20"/>
                <w:szCs w:val="20"/>
              </w:rPr>
              <w:t>Hz</w:t>
            </w:r>
            <w:proofErr w:type="spellEnd"/>
            <w:r w:rsidRPr="000A077C">
              <w:rPr>
                <w:rFonts w:ascii="Bookman Old Style" w:hAnsi="Bookman Old Style"/>
                <w:sz w:val="20"/>
                <w:szCs w:val="20"/>
              </w:rPr>
              <w:t xml:space="preserve"> p</w:t>
            </w:r>
            <w:r>
              <w:rPr>
                <w:rFonts w:ascii="Bookman Old Style" w:hAnsi="Bookman Old Style"/>
                <w:sz w:val="20"/>
                <w:szCs w:val="20"/>
              </w:rPr>
              <w:t>oprzez zasilacz awaryjny (UPS).</w:t>
            </w:r>
            <w:r w:rsidRPr="008E6C0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podtrzymujący pracę linii przez 30 min., serwisowanie UPS po stronie Wykonawcy</w:t>
            </w:r>
          </w:p>
        </w:tc>
        <w:tc>
          <w:tcPr>
            <w:tcW w:w="2384" w:type="dxa"/>
            <w:vAlign w:val="center"/>
          </w:tcPr>
          <w:p w14:paraId="57F9C86E" w14:textId="104325FF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248B0A04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56A2847C" w14:textId="77777777" w:rsidTr="00E873F0">
        <w:trPr>
          <w:trHeight w:val="461"/>
        </w:trPr>
        <w:tc>
          <w:tcPr>
            <w:tcW w:w="577" w:type="dxa"/>
            <w:vAlign w:val="center"/>
          </w:tcPr>
          <w:p w14:paraId="6C984FD6" w14:textId="7611A297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1.1</w:t>
            </w:r>
            <w:r w:rsidR="006859BA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498" w:type="dxa"/>
            <w:vAlign w:val="center"/>
          </w:tcPr>
          <w:p w14:paraId="112CF1F6" w14:textId="77777777" w:rsidR="00F140D5" w:rsidRPr="002E43AB" w:rsidRDefault="00F140D5" w:rsidP="00F140D5">
            <w:pPr>
              <w:autoSpaceDE w:val="0"/>
              <w:snapToGrid w:val="0"/>
              <w:rPr>
                <w:rFonts w:ascii="Bookman Old Style" w:eastAsia="Mangal" w:hAnsi="Bookman Old Style"/>
                <w:sz w:val="20"/>
                <w:szCs w:val="20"/>
              </w:rPr>
            </w:pPr>
            <w:r w:rsidRPr="002E43AB">
              <w:rPr>
                <w:rFonts w:ascii="Bookman Old Style" w:eastAsia="Arial" w:hAnsi="Bookman Old Style" w:cs="Arial"/>
                <w:sz w:val="20"/>
                <w:szCs w:val="20"/>
              </w:rPr>
              <w:t>Instrukcja obsługi w ję</w:t>
            </w:r>
            <w:r w:rsidRPr="002E43AB">
              <w:rPr>
                <w:rFonts w:ascii="Bookman Old Style" w:eastAsia="Mangal" w:hAnsi="Bookman Old Style"/>
                <w:sz w:val="20"/>
                <w:szCs w:val="20"/>
              </w:rPr>
              <w:t xml:space="preserve">zyku polskim: </w:t>
            </w:r>
          </w:p>
          <w:p w14:paraId="044B2903" w14:textId="77777777" w:rsidR="00F140D5" w:rsidRPr="002E43AB" w:rsidRDefault="00F140D5" w:rsidP="00F140D5">
            <w:pPr>
              <w:autoSpaceDE w:val="0"/>
              <w:snapToGrid w:val="0"/>
              <w:rPr>
                <w:rFonts w:ascii="Bookman Old Style" w:eastAsia="Mangal" w:hAnsi="Bookman Old Style"/>
                <w:sz w:val="20"/>
                <w:szCs w:val="20"/>
              </w:rPr>
            </w:pPr>
            <w:r w:rsidRPr="002E43AB">
              <w:rPr>
                <w:rFonts w:ascii="Bookman Old Style" w:eastAsia="Mangal" w:hAnsi="Bookman Old Style"/>
                <w:sz w:val="20"/>
                <w:szCs w:val="20"/>
              </w:rPr>
              <w:t xml:space="preserve">w formie wydrukowanej i w wersji elektronicznej na nośniku danych (pendrive). </w:t>
            </w:r>
          </w:p>
          <w:p w14:paraId="2A3BC159" w14:textId="527105DF" w:rsidR="00F140D5" w:rsidRPr="008E6C08" w:rsidRDefault="00F140D5" w:rsidP="00F140D5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E43AB">
              <w:rPr>
                <w:rFonts w:ascii="Bookman Old Style" w:eastAsia="Mangal" w:hAnsi="Bookman Old Style"/>
                <w:i/>
                <w:sz w:val="20"/>
                <w:szCs w:val="20"/>
              </w:rPr>
              <w:t>Dostarczyć wraz z dostawą przedmiotu  najmu.</w:t>
            </w:r>
          </w:p>
        </w:tc>
        <w:tc>
          <w:tcPr>
            <w:tcW w:w="2384" w:type="dxa"/>
            <w:vAlign w:val="center"/>
          </w:tcPr>
          <w:p w14:paraId="51754FDE" w14:textId="77D86473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1C85DE01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5D190FD2" w14:textId="77777777" w:rsidTr="007D5A55">
        <w:trPr>
          <w:trHeight w:val="461"/>
        </w:trPr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6D54978C" w14:textId="2B5B7CAA" w:rsidR="00F140D5" w:rsidRPr="008E6C08" w:rsidRDefault="00F140D5" w:rsidP="00F140D5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6146BCE2" w14:textId="44514744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E349B9">
              <w:rPr>
                <w:rFonts w:ascii="Bookman Old Style" w:hAnsi="Bookman Old Style"/>
                <w:b/>
                <w:sz w:val="20"/>
                <w:szCs w:val="20"/>
              </w:rPr>
              <w:t>Wymagania dotyczące analizatora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71C92103" w14:textId="77777777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2F2F2" w:themeFill="background1" w:themeFillShade="F2"/>
          </w:tcPr>
          <w:p w14:paraId="4C04540B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3C324C06" w14:textId="77777777" w:rsidTr="00E873F0">
        <w:trPr>
          <w:trHeight w:val="461"/>
        </w:trPr>
        <w:tc>
          <w:tcPr>
            <w:tcW w:w="577" w:type="dxa"/>
            <w:shd w:val="clear" w:color="auto" w:fill="FFFFFF" w:themeFill="background1"/>
            <w:vAlign w:val="center"/>
          </w:tcPr>
          <w:p w14:paraId="6EFB2285" w14:textId="6842669E" w:rsidR="00F140D5" w:rsidRPr="00F140D5" w:rsidRDefault="00F140D5" w:rsidP="00F140D5">
            <w:pPr>
              <w:spacing w:before="60" w:after="6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140D5">
              <w:rPr>
                <w:rFonts w:ascii="Bookman Old Style" w:hAnsi="Bookman Old Style"/>
                <w:bCs/>
                <w:sz w:val="20"/>
                <w:szCs w:val="20"/>
              </w:rPr>
              <w:t>2.1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709B6861" w14:textId="4041AB8E" w:rsidR="00F140D5" w:rsidRPr="002E43AB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  <w:r w:rsidRPr="002E43AB">
              <w:rPr>
                <w:rFonts w:ascii="Bookman Old Style" w:hAnsi="Bookman Old Style"/>
                <w:sz w:val="20"/>
                <w:szCs w:val="20"/>
              </w:rPr>
              <w:t>Analizator stanowiący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przedmiot najmu, oznaczony</w:t>
            </w:r>
            <w:r w:rsidRPr="002E43AB">
              <w:rPr>
                <w:rFonts w:ascii="Bookman Old Style" w:hAnsi="Bookman Old Style"/>
                <w:sz w:val="20"/>
                <w:szCs w:val="20"/>
              </w:rPr>
              <w:t xml:space="preserve"> znakiem CE.</w:t>
            </w:r>
          </w:p>
          <w:p w14:paraId="33682EAB" w14:textId="15004827" w:rsidR="00F140D5" w:rsidRPr="00E349B9" w:rsidRDefault="00F140D5" w:rsidP="00F140D5">
            <w:pPr>
              <w:spacing w:before="60" w:after="6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E43AB">
              <w:rPr>
                <w:rFonts w:ascii="Bookman Old Style" w:eastAsia="Mangal" w:hAnsi="Bookman Old Style"/>
                <w:i/>
                <w:iCs/>
                <w:sz w:val="20"/>
                <w:szCs w:val="20"/>
              </w:rPr>
              <w:t>Dostarczyć wraz z dostawą przedmiotu najmu kopię certyfikatu i deklaracji zgodności  z dyrektywą WE.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3ED334C2" w14:textId="0AA6B259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  <w:shd w:val="clear" w:color="auto" w:fill="FFFFFF" w:themeFill="background1"/>
          </w:tcPr>
          <w:p w14:paraId="479BB9C3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76D17350" w14:textId="77777777" w:rsidTr="00E873F0">
        <w:trPr>
          <w:trHeight w:val="461"/>
        </w:trPr>
        <w:tc>
          <w:tcPr>
            <w:tcW w:w="577" w:type="dxa"/>
            <w:shd w:val="clear" w:color="auto" w:fill="FFFFFF" w:themeFill="background1"/>
            <w:vAlign w:val="center"/>
          </w:tcPr>
          <w:p w14:paraId="019CD800" w14:textId="05F73BB8" w:rsidR="00F140D5" w:rsidRPr="00F140D5" w:rsidRDefault="00F140D5" w:rsidP="00F140D5">
            <w:pPr>
              <w:spacing w:before="60" w:after="6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140D5">
              <w:rPr>
                <w:rFonts w:ascii="Bookman Old Style" w:hAnsi="Bookman Old Style"/>
                <w:bCs/>
                <w:sz w:val="20"/>
                <w:szCs w:val="20"/>
              </w:rPr>
              <w:t>2.2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79171A9D" w14:textId="5F077689" w:rsidR="00F140D5" w:rsidRPr="00F512BD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DD4FC4">
              <w:rPr>
                <w:rFonts w:ascii="Bookman Old Style" w:hAnsi="Bookman Old Style"/>
                <w:sz w:val="20"/>
                <w:szCs w:val="20"/>
              </w:rPr>
              <w:t xml:space="preserve">Automatyczny analizator wyprodukowany nie wcześniej niż w 2023 roku, fabrycznie nowy, </w:t>
            </w:r>
            <w:proofErr w:type="spellStart"/>
            <w:r w:rsidRPr="00DD4FC4">
              <w:rPr>
                <w:rFonts w:ascii="Bookman Old Style" w:hAnsi="Bookman Old Style"/>
                <w:sz w:val="20"/>
                <w:szCs w:val="20"/>
              </w:rPr>
              <w:t>nastołowy</w:t>
            </w:r>
            <w:proofErr w:type="spellEnd"/>
            <w:r w:rsidRPr="00DD4FC4">
              <w:rPr>
                <w:rFonts w:ascii="Bookman Old Style" w:hAnsi="Bookman Old Style"/>
                <w:sz w:val="20"/>
                <w:szCs w:val="20"/>
              </w:rPr>
              <w:t xml:space="preserve">, metoda pomiaru: </w:t>
            </w:r>
            <w:proofErr w:type="spellStart"/>
            <w:r w:rsidRPr="00DD4FC4">
              <w:rPr>
                <w:rFonts w:ascii="Bookman Old Style" w:hAnsi="Bookman Old Style"/>
                <w:sz w:val="20"/>
                <w:szCs w:val="20"/>
              </w:rPr>
              <w:t>immunoturbidymetria</w:t>
            </w:r>
            <w:proofErr w:type="spellEnd"/>
            <w:r w:rsidRPr="00DD4FC4">
              <w:rPr>
                <w:rFonts w:ascii="Bookman Old Style" w:hAnsi="Bookman Old Style"/>
                <w:sz w:val="20"/>
                <w:szCs w:val="20"/>
              </w:rPr>
              <w:t xml:space="preserve">,  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0664F618" w14:textId="340B9A3A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  <w:shd w:val="clear" w:color="auto" w:fill="FFFFFF" w:themeFill="background1"/>
          </w:tcPr>
          <w:p w14:paraId="6A41BBE0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7C01A966" w14:textId="77777777" w:rsidTr="00E873F0">
        <w:trPr>
          <w:trHeight w:val="461"/>
        </w:trPr>
        <w:tc>
          <w:tcPr>
            <w:tcW w:w="577" w:type="dxa"/>
            <w:shd w:val="clear" w:color="auto" w:fill="FFFFFF" w:themeFill="background1"/>
            <w:vAlign w:val="center"/>
          </w:tcPr>
          <w:p w14:paraId="32463F4A" w14:textId="3841DCDC" w:rsidR="00F140D5" w:rsidRPr="00F140D5" w:rsidRDefault="00F140D5" w:rsidP="00F140D5">
            <w:pPr>
              <w:spacing w:before="60" w:after="6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140D5">
              <w:rPr>
                <w:rFonts w:ascii="Bookman Old Style" w:hAnsi="Bookman Old Style"/>
                <w:bCs/>
                <w:sz w:val="20"/>
                <w:szCs w:val="20"/>
              </w:rPr>
              <w:t>2.3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4BF6C32A" w14:textId="53022CC5" w:rsidR="00F140D5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0A077C">
              <w:rPr>
                <w:rFonts w:ascii="Bookman Old Style" w:hAnsi="Bookman Old Style"/>
                <w:sz w:val="20"/>
                <w:szCs w:val="20"/>
              </w:rPr>
              <w:t xml:space="preserve">Komunikacja użytkownika z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analizatorem w języku polskim. 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54A9EE75" w14:textId="7B156E4A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  <w:shd w:val="clear" w:color="auto" w:fill="FFFFFF" w:themeFill="background1"/>
          </w:tcPr>
          <w:p w14:paraId="162DF44B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4B88BEEA" w14:textId="77777777" w:rsidTr="00E873F0">
        <w:trPr>
          <w:trHeight w:val="461"/>
        </w:trPr>
        <w:tc>
          <w:tcPr>
            <w:tcW w:w="577" w:type="dxa"/>
            <w:shd w:val="clear" w:color="auto" w:fill="FFFFFF" w:themeFill="background1"/>
            <w:vAlign w:val="center"/>
          </w:tcPr>
          <w:p w14:paraId="3789290F" w14:textId="58D0B08A" w:rsidR="00F140D5" w:rsidRPr="00F140D5" w:rsidRDefault="00F140D5" w:rsidP="00F140D5">
            <w:pPr>
              <w:spacing w:before="60" w:after="6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140D5">
              <w:rPr>
                <w:rFonts w:ascii="Bookman Old Style" w:hAnsi="Bookman Old Style"/>
                <w:bCs/>
                <w:sz w:val="20"/>
                <w:szCs w:val="20"/>
              </w:rPr>
              <w:t>2.4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23F8E51D" w14:textId="4A84B5A3" w:rsidR="00F140D5" w:rsidRPr="000A077C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0A077C">
              <w:rPr>
                <w:rFonts w:ascii="Bookman Old Style" w:hAnsi="Bookman Old Style"/>
                <w:sz w:val="20"/>
                <w:szCs w:val="20"/>
              </w:rPr>
              <w:t>Producent i kraj poch</w:t>
            </w:r>
            <w:r>
              <w:rPr>
                <w:rFonts w:ascii="Bookman Old Style" w:hAnsi="Bookman Old Style"/>
                <w:sz w:val="20"/>
                <w:szCs w:val="20"/>
              </w:rPr>
              <w:t>odzenia analizatora – podać.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1E7A5A03" w14:textId="0035181B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  <w:shd w:val="clear" w:color="auto" w:fill="FFFFFF" w:themeFill="background1"/>
          </w:tcPr>
          <w:p w14:paraId="56DBDBB6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3179B09A" w14:textId="77777777" w:rsidTr="00E873F0">
        <w:trPr>
          <w:trHeight w:val="461"/>
        </w:trPr>
        <w:tc>
          <w:tcPr>
            <w:tcW w:w="577" w:type="dxa"/>
            <w:shd w:val="clear" w:color="auto" w:fill="FFFFFF" w:themeFill="background1"/>
            <w:vAlign w:val="center"/>
          </w:tcPr>
          <w:p w14:paraId="683FFBEB" w14:textId="37FDD85E" w:rsidR="00F140D5" w:rsidRPr="00F140D5" w:rsidRDefault="00F140D5" w:rsidP="00F140D5">
            <w:pPr>
              <w:spacing w:before="60" w:after="6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2.</w:t>
            </w:r>
            <w:r w:rsidRPr="00F140D5">
              <w:rPr>
                <w:rFonts w:ascii="Bookman Old Style" w:hAnsi="Bookman Old Style"/>
                <w:bCs/>
                <w:sz w:val="20"/>
                <w:szCs w:val="20"/>
              </w:rPr>
              <w:t>5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79B05962" w14:textId="786B637A" w:rsidR="00F140D5" w:rsidRPr="00F512BD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0A077C">
              <w:rPr>
                <w:rFonts w:ascii="Bookman Old Style" w:hAnsi="Bookman Old Style"/>
                <w:sz w:val="20"/>
                <w:szCs w:val="20"/>
              </w:rPr>
              <w:t>Typ i model analizatora – podać.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7D61FDD5" w14:textId="59117C3E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  <w:shd w:val="clear" w:color="auto" w:fill="FFFFFF" w:themeFill="background1"/>
          </w:tcPr>
          <w:p w14:paraId="3353D0B0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0B7CEC2A" w14:textId="77777777" w:rsidTr="00E873F0">
        <w:trPr>
          <w:trHeight w:val="860"/>
        </w:trPr>
        <w:tc>
          <w:tcPr>
            <w:tcW w:w="577" w:type="dxa"/>
            <w:vAlign w:val="center"/>
          </w:tcPr>
          <w:p w14:paraId="3DEE529B" w14:textId="1A45485C" w:rsidR="00F140D5" w:rsidRPr="008E6C08" w:rsidRDefault="00F140D5" w:rsidP="00F140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2.6</w:t>
            </w:r>
          </w:p>
        </w:tc>
        <w:tc>
          <w:tcPr>
            <w:tcW w:w="9498" w:type="dxa"/>
            <w:vAlign w:val="center"/>
          </w:tcPr>
          <w:p w14:paraId="2EA26A51" w14:textId="3E85A2AA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349B9">
              <w:rPr>
                <w:rFonts w:ascii="Bookman Old Style" w:hAnsi="Bookman Old Style"/>
                <w:sz w:val="20"/>
                <w:szCs w:val="20"/>
              </w:rPr>
              <w:t>Możliwość wykonywania oznaczeń w różnych płynach ustrojowych, w tym w</w:t>
            </w:r>
            <w:r>
              <w:rPr>
                <w:rFonts w:ascii="Bookman Old Style" w:hAnsi="Bookman Old Style"/>
                <w:sz w:val="20"/>
                <w:szCs w:val="20"/>
              </w:rPr>
              <w:t>: surowicy, osoczu, PMR, moczu</w:t>
            </w:r>
          </w:p>
        </w:tc>
        <w:tc>
          <w:tcPr>
            <w:tcW w:w="2384" w:type="dxa"/>
            <w:vAlign w:val="center"/>
          </w:tcPr>
          <w:p w14:paraId="27D56CD6" w14:textId="431BE483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41BD0530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52DEA315" w14:textId="77777777" w:rsidTr="00A57B10">
        <w:trPr>
          <w:trHeight w:val="294"/>
        </w:trPr>
        <w:tc>
          <w:tcPr>
            <w:tcW w:w="577" w:type="dxa"/>
            <w:vAlign w:val="center"/>
          </w:tcPr>
          <w:p w14:paraId="405D912B" w14:textId="688C30AC" w:rsidR="00F140D5" w:rsidRPr="008E6C08" w:rsidRDefault="00F140D5" w:rsidP="00F140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2.7</w:t>
            </w:r>
          </w:p>
        </w:tc>
        <w:tc>
          <w:tcPr>
            <w:tcW w:w="9498" w:type="dxa"/>
          </w:tcPr>
          <w:p w14:paraId="56B4E9C8" w14:textId="77777777" w:rsidR="00F140D5" w:rsidRPr="00461936" w:rsidRDefault="00F140D5" w:rsidP="00F140D5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Możliwość wykonania następujących oznaczeń:</w:t>
            </w:r>
          </w:p>
          <w:p w14:paraId="475DC71E" w14:textId="73AC9499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Wolne lekkie łańcuchy immunoglobulin typu kappa w surowicy.</w:t>
            </w:r>
          </w:p>
          <w:p w14:paraId="3ECDB575" w14:textId="183CCEB8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>Wolne lekkie ła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ńcuchy immunoglobulin typu lambda</w:t>
            </w: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w surowicy.</w:t>
            </w:r>
          </w:p>
          <w:p w14:paraId="6FD331E5" w14:textId="4D462770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>Wolne lekkie łańcuchy immu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noglobulin typu kappa w moczu</w:t>
            </w: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</w:p>
          <w:p w14:paraId="2CA31B33" w14:textId="37A0747A" w:rsidR="00F140D5" w:rsidRPr="0040352E" w:rsidRDefault="00F140D5" w:rsidP="00F140D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>Wolne lekkie ła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ńcuchy immunoglobulin typu lambda</w:t>
            </w: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w moczu.</w:t>
            </w:r>
          </w:p>
          <w:p w14:paraId="436553DE" w14:textId="38BD4F26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Podklasa Immunoglobuliny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IgG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- </w:t>
            </w:r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IgG1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w surowicy, </w:t>
            </w:r>
          </w:p>
          <w:p w14:paraId="61B473CD" w14:textId="716EBDA3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Podklasa Immunoglobuliny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IgG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- </w:t>
            </w:r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IgG2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w surowicy,</w:t>
            </w:r>
          </w:p>
          <w:p w14:paraId="1EF9F894" w14:textId="73C0D175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Podklasa Immunoglobuliny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IgG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- </w:t>
            </w:r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IgG3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w surowicy,</w:t>
            </w:r>
          </w:p>
          <w:p w14:paraId="35903CA4" w14:textId="27126A18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Podklasa Immunoglobuliny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IgG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- </w:t>
            </w:r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IgG4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w surowicy,</w:t>
            </w:r>
          </w:p>
          <w:p w14:paraId="42710E78" w14:textId="109605B2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Podklasa Immunoglobuliny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IgA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-</w:t>
            </w: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IgA1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w surowicy,</w:t>
            </w:r>
          </w:p>
          <w:p w14:paraId="2BE3916A" w14:textId="54881353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Podklasa Immunoglobuliny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IgA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- </w:t>
            </w:r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IgA2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w surowicy,</w:t>
            </w:r>
          </w:p>
          <w:p w14:paraId="1EC9ED3E" w14:textId="54A8A87E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Hevylite</w:t>
            </w:r>
            <w:proofErr w:type="spellEnd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IgG</w:t>
            </w:r>
            <w:proofErr w:type="spellEnd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kappa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w surowicy,</w:t>
            </w:r>
          </w:p>
          <w:p w14:paraId="4029053B" w14:textId="51B8686E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Hevylite</w:t>
            </w:r>
            <w:proofErr w:type="spellEnd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IgG</w:t>
            </w:r>
            <w:proofErr w:type="spellEnd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lambda</w:t>
            </w:r>
            <w:r>
              <w:t xml:space="preserve"> </w:t>
            </w: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>w surowicy,</w:t>
            </w:r>
          </w:p>
          <w:p w14:paraId="5DA7E4ED" w14:textId="3E0CBB1F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Hevylite</w:t>
            </w:r>
            <w:proofErr w:type="spellEnd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IgA</w:t>
            </w:r>
            <w:proofErr w:type="spellEnd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kappa</w:t>
            </w:r>
            <w:r>
              <w:t xml:space="preserve"> </w:t>
            </w: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>w surowicy,</w:t>
            </w:r>
          </w:p>
          <w:p w14:paraId="7BEC1A6B" w14:textId="6005D8E5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Hevylite</w:t>
            </w:r>
            <w:proofErr w:type="spellEnd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IgA</w:t>
            </w:r>
            <w:proofErr w:type="spellEnd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lambda</w:t>
            </w:r>
            <w:r>
              <w:t xml:space="preserve"> </w:t>
            </w: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>w surowicy,</w:t>
            </w:r>
          </w:p>
          <w:p w14:paraId="1340118D" w14:textId="745A0EDB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Hevylite</w:t>
            </w:r>
            <w:proofErr w:type="spellEnd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IgM</w:t>
            </w:r>
            <w:proofErr w:type="spellEnd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kappa</w:t>
            </w:r>
            <w:r>
              <w:t xml:space="preserve"> </w:t>
            </w: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>w surowicy,</w:t>
            </w:r>
          </w:p>
          <w:p w14:paraId="4CB3BD94" w14:textId="60407C35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Hevylite</w:t>
            </w:r>
            <w:proofErr w:type="spellEnd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IgM</w:t>
            </w:r>
            <w:proofErr w:type="spellEnd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lambda</w:t>
            </w:r>
            <w:r>
              <w:t xml:space="preserve"> </w:t>
            </w: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>w surowicy,</w:t>
            </w:r>
          </w:p>
          <w:p w14:paraId="7231196D" w14:textId="77777777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C1 inaktywator</w:t>
            </w:r>
          </w:p>
          <w:p w14:paraId="5FE690F2" w14:textId="6F34F56D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Składnik układu dopełniacza </w:t>
            </w:r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C3</w:t>
            </w:r>
            <w:r w:rsidR="001D7DFA">
              <w:rPr>
                <w:rFonts w:ascii="Bookman Old Style" w:hAnsi="Bookman Old Style"/>
                <w:color w:val="000000"/>
                <w:sz w:val="20"/>
                <w:szCs w:val="20"/>
              </w:rPr>
              <w:t>c</w:t>
            </w:r>
          </w:p>
          <w:p w14:paraId="4DB08B47" w14:textId="15A3EDEA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Składnik układu dopełniacza </w:t>
            </w:r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C4</w:t>
            </w:r>
          </w:p>
          <w:p w14:paraId="6649F793" w14:textId="2BE5F542" w:rsidR="00F140D5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Rozpuszczalny receptor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transferyny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936">
              <w:rPr>
                <w:rFonts w:ascii="Bookman Old Style" w:hAnsi="Bookman Old Style"/>
                <w:color w:val="000000"/>
                <w:sz w:val="20"/>
                <w:szCs w:val="20"/>
              </w:rPr>
              <w:t>sTfR</w:t>
            </w:r>
            <w:proofErr w:type="spellEnd"/>
          </w:p>
          <w:p w14:paraId="6096FD54" w14:textId="26DD58E2" w:rsidR="00F140D5" w:rsidRPr="00461936" w:rsidRDefault="00F140D5" w:rsidP="00F140D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0352E">
              <w:rPr>
                <w:rFonts w:ascii="Bookman Old Style" w:hAnsi="Bookman Old Style"/>
                <w:color w:val="000000"/>
                <w:sz w:val="20"/>
                <w:szCs w:val="20"/>
              </w:rPr>
              <w:t>Aktywność dopełniacza CH50 w surowicy</w:t>
            </w:r>
          </w:p>
        </w:tc>
        <w:tc>
          <w:tcPr>
            <w:tcW w:w="2384" w:type="dxa"/>
            <w:vAlign w:val="center"/>
          </w:tcPr>
          <w:p w14:paraId="1B817023" w14:textId="47213C9B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4FB7A26A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2F0D04DA" w14:textId="77777777" w:rsidTr="001C6209">
        <w:trPr>
          <w:trHeight w:val="489"/>
        </w:trPr>
        <w:tc>
          <w:tcPr>
            <w:tcW w:w="577" w:type="dxa"/>
            <w:vAlign w:val="center"/>
          </w:tcPr>
          <w:p w14:paraId="03360DBB" w14:textId="44BD48FC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2.8</w:t>
            </w:r>
          </w:p>
        </w:tc>
        <w:tc>
          <w:tcPr>
            <w:tcW w:w="9498" w:type="dxa"/>
            <w:vAlign w:val="center"/>
          </w:tcPr>
          <w:p w14:paraId="1DB14C26" w14:textId="77777777" w:rsidR="00F140D5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4F0730">
              <w:rPr>
                <w:rFonts w:ascii="Bookman Old Style" w:hAnsi="Bookman Old Style"/>
                <w:sz w:val="20"/>
                <w:szCs w:val="20"/>
              </w:rPr>
              <w:t>Ilość pozycj</w:t>
            </w:r>
            <w:r>
              <w:rPr>
                <w:rFonts w:ascii="Bookman Old Style" w:hAnsi="Bookman Old Style"/>
                <w:sz w:val="20"/>
                <w:szCs w:val="20"/>
              </w:rPr>
              <w:t>i na próbki badane: minimum 50.</w:t>
            </w:r>
          </w:p>
          <w:p w14:paraId="4BB95F87" w14:textId="68D9B86D" w:rsidR="00F140D5" w:rsidRPr="004F0730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podać</w:t>
            </w:r>
          </w:p>
        </w:tc>
        <w:tc>
          <w:tcPr>
            <w:tcW w:w="2384" w:type="dxa"/>
            <w:vAlign w:val="center"/>
          </w:tcPr>
          <w:p w14:paraId="21929869" w14:textId="611EEAC9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0FEDC0E0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6FAD15BE" w14:textId="77777777" w:rsidTr="001C6209">
        <w:trPr>
          <w:trHeight w:val="620"/>
        </w:trPr>
        <w:tc>
          <w:tcPr>
            <w:tcW w:w="577" w:type="dxa"/>
            <w:vAlign w:val="center"/>
          </w:tcPr>
          <w:p w14:paraId="2F2EFD63" w14:textId="2212CD2B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2.9</w:t>
            </w:r>
          </w:p>
        </w:tc>
        <w:tc>
          <w:tcPr>
            <w:tcW w:w="9498" w:type="dxa"/>
            <w:vAlign w:val="center"/>
          </w:tcPr>
          <w:p w14:paraId="0AB5D589" w14:textId="77777777" w:rsidR="00F140D5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4F0730">
              <w:rPr>
                <w:rFonts w:ascii="Bookman Old Style" w:hAnsi="Bookman Old Style"/>
                <w:sz w:val="20"/>
                <w:szCs w:val="20"/>
              </w:rPr>
              <w:t>Ilość pozycji na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odczynniki: minimum 30.</w:t>
            </w:r>
          </w:p>
          <w:p w14:paraId="38BB865F" w14:textId="0FB980B2" w:rsidR="00F140D5" w:rsidRPr="004F0730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podać</w:t>
            </w:r>
          </w:p>
        </w:tc>
        <w:tc>
          <w:tcPr>
            <w:tcW w:w="2384" w:type="dxa"/>
            <w:vAlign w:val="center"/>
          </w:tcPr>
          <w:p w14:paraId="0D1EC853" w14:textId="7A22111C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70F7DB83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4877B9BD" w14:textId="77777777" w:rsidTr="001C6209">
        <w:trPr>
          <w:trHeight w:val="416"/>
        </w:trPr>
        <w:tc>
          <w:tcPr>
            <w:tcW w:w="577" w:type="dxa"/>
            <w:vAlign w:val="center"/>
          </w:tcPr>
          <w:p w14:paraId="2CBEB9F3" w14:textId="0C5451A6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2.10</w:t>
            </w:r>
          </w:p>
        </w:tc>
        <w:tc>
          <w:tcPr>
            <w:tcW w:w="9498" w:type="dxa"/>
            <w:vAlign w:val="center"/>
          </w:tcPr>
          <w:p w14:paraId="2BF06796" w14:textId="1ABF06D0" w:rsidR="00F140D5" w:rsidRPr="007B449C" w:rsidRDefault="00F140D5" w:rsidP="00F140D5">
            <w:pPr>
              <w:autoSpaceDE w:val="0"/>
              <w:snapToGrid w:val="0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DD4FC4">
              <w:rPr>
                <w:rFonts w:ascii="Bookman Old Style" w:eastAsia="Arial" w:hAnsi="Bookman Old Style" w:cs="Arial"/>
                <w:sz w:val="20"/>
                <w:szCs w:val="20"/>
              </w:rPr>
              <w:t>Wydajność mi</w:t>
            </w: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nimum 100 testów / godzinę.    </w:t>
            </w:r>
          </w:p>
        </w:tc>
        <w:tc>
          <w:tcPr>
            <w:tcW w:w="2384" w:type="dxa"/>
            <w:vAlign w:val="center"/>
          </w:tcPr>
          <w:p w14:paraId="40C2A3D5" w14:textId="76AEC476" w:rsidR="00F140D5" w:rsidRPr="008E6C08" w:rsidRDefault="001C6209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06140104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1F38217F" w14:textId="77777777" w:rsidTr="001C6209">
        <w:trPr>
          <w:trHeight w:val="423"/>
        </w:trPr>
        <w:tc>
          <w:tcPr>
            <w:tcW w:w="577" w:type="dxa"/>
            <w:vAlign w:val="center"/>
          </w:tcPr>
          <w:p w14:paraId="11822586" w14:textId="2C5AEEC7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2.11</w:t>
            </w:r>
          </w:p>
        </w:tc>
        <w:tc>
          <w:tcPr>
            <w:tcW w:w="9498" w:type="dxa"/>
            <w:vAlign w:val="center"/>
          </w:tcPr>
          <w:p w14:paraId="48E63C27" w14:textId="5EADB7E7" w:rsidR="00F140D5" w:rsidRPr="004F0730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DD4FC4">
              <w:rPr>
                <w:rFonts w:ascii="Bookman Old Style" w:hAnsi="Bookman Old Style"/>
                <w:sz w:val="20"/>
                <w:szCs w:val="20"/>
              </w:rPr>
              <w:t xml:space="preserve">Osobna igła </w:t>
            </w:r>
            <w:proofErr w:type="spellStart"/>
            <w:r w:rsidRPr="00DD4FC4">
              <w:rPr>
                <w:rFonts w:ascii="Bookman Old Style" w:hAnsi="Bookman Old Style"/>
                <w:sz w:val="20"/>
                <w:szCs w:val="20"/>
              </w:rPr>
              <w:t>próbkowa</w:t>
            </w:r>
            <w:proofErr w:type="spellEnd"/>
            <w:r w:rsidRPr="00DD4FC4">
              <w:rPr>
                <w:rFonts w:ascii="Bookman Old Style" w:hAnsi="Bookman Old Style"/>
                <w:sz w:val="20"/>
                <w:szCs w:val="20"/>
              </w:rPr>
              <w:t xml:space="preserve"> i odczynnikowa.</w:t>
            </w:r>
          </w:p>
        </w:tc>
        <w:tc>
          <w:tcPr>
            <w:tcW w:w="2384" w:type="dxa"/>
            <w:vAlign w:val="center"/>
          </w:tcPr>
          <w:p w14:paraId="439E8008" w14:textId="29B3DE33" w:rsidR="00F140D5" w:rsidRPr="008E6C08" w:rsidRDefault="001C6209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32A280E8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2F0B0EFF" w14:textId="77777777" w:rsidTr="001C6209">
        <w:trPr>
          <w:trHeight w:val="294"/>
        </w:trPr>
        <w:tc>
          <w:tcPr>
            <w:tcW w:w="577" w:type="dxa"/>
            <w:vAlign w:val="center"/>
          </w:tcPr>
          <w:p w14:paraId="410F45AF" w14:textId="4DE2389F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2.12</w:t>
            </w:r>
          </w:p>
        </w:tc>
        <w:tc>
          <w:tcPr>
            <w:tcW w:w="9498" w:type="dxa"/>
            <w:vAlign w:val="center"/>
          </w:tcPr>
          <w:p w14:paraId="485359C1" w14:textId="5EB0649C" w:rsidR="00F140D5" w:rsidRPr="007B449C" w:rsidRDefault="00F140D5" w:rsidP="00F140D5">
            <w:pPr>
              <w:spacing w:before="60" w:after="60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DD4FC4">
              <w:rPr>
                <w:rFonts w:ascii="Bookman Old Style" w:eastAsia="Arial" w:hAnsi="Bookman Old Style" w:cs="Arial"/>
                <w:sz w:val="20"/>
                <w:szCs w:val="20"/>
              </w:rPr>
              <w:t xml:space="preserve">Analizator wyposażony w </w:t>
            </w:r>
            <w:r>
              <w:rPr>
                <w:rFonts w:ascii="Bookman Old Style" w:eastAsia="Arial" w:hAnsi="Bookman Old Style" w:cs="Arial"/>
                <w:sz w:val="20"/>
                <w:szCs w:val="20"/>
              </w:rPr>
              <w:t>system detekcji poziomu cieczy.</w:t>
            </w:r>
          </w:p>
        </w:tc>
        <w:tc>
          <w:tcPr>
            <w:tcW w:w="2384" w:type="dxa"/>
            <w:vAlign w:val="center"/>
          </w:tcPr>
          <w:p w14:paraId="1D2E0FBD" w14:textId="07F75530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0B1E9371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27CF0432" w14:textId="77777777" w:rsidTr="001C6209">
        <w:trPr>
          <w:trHeight w:val="415"/>
        </w:trPr>
        <w:tc>
          <w:tcPr>
            <w:tcW w:w="577" w:type="dxa"/>
            <w:vAlign w:val="center"/>
          </w:tcPr>
          <w:p w14:paraId="70A60D1E" w14:textId="7BF6DF4F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2.13</w:t>
            </w:r>
          </w:p>
        </w:tc>
        <w:tc>
          <w:tcPr>
            <w:tcW w:w="9498" w:type="dxa"/>
            <w:vAlign w:val="center"/>
          </w:tcPr>
          <w:p w14:paraId="2D521CD4" w14:textId="08C028AA" w:rsidR="00F140D5" w:rsidRPr="004F0730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4F0730">
              <w:rPr>
                <w:rFonts w:ascii="Bookman Old Style" w:hAnsi="Bookman Old Style"/>
                <w:sz w:val="20"/>
                <w:szCs w:val="20"/>
              </w:rPr>
              <w:t>Chłodzenie odczyn</w:t>
            </w:r>
            <w:r>
              <w:rPr>
                <w:rFonts w:ascii="Bookman Old Style" w:hAnsi="Bookman Old Style"/>
                <w:sz w:val="20"/>
                <w:szCs w:val="20"/>
              </w:rPr>
              <w:t>ników na pokładzie analizatora.</w:t>
            </w:r>
          </w:p>
        </w:tc>
        <w:tc>
          <w:tcPr>
            <w:tcW w:w="2384" w:type="dxa"/>
            <w:vAlign w:val="center"/>
          </w:tcPr>
          <w:p w14:paraId="4228BE44" w14:textId="746023C4" w:rsidR="00F140D5" w:rsidRPr="008E6C08" w:rsidRDefault="001C6209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30181AF5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04D7F6A2" w14:textId="77777777" w:rsidTr="001C6209">
        <w:trPr>
          <w:trHeight w:val="415"/>
        </w:trPr>
        <w:tc>
          <w:tcPr>
            <w:tcW w:w="577" w:type="dxa"/>
            <w:vAlign w:val="center"/>
          </w:tcPr>
          <w:p w14:paraId="3DA2C531" w14:textId="1B038785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2.14</w:t>
            </w:r>
          </w:p>
        </w:tc>
        <w:tc>
          <w:tcPr>
            <w:tcW w:w="9498" w:type="dxa"/>
            <w:vAlign w:val="center"/>
          </w:tcPr>
          <w:p w14:paraId="1E93B654" w14:textId="614F16BF" w:rsidR="00F140D5" w:rsidRPr="004F0730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4F0730">
              <w:rPr>
                <w:rFonts w:ascii="Bookman Old Style" w:hAnsi="Bookman Old Style"/>
                <w:sz w:val="20"/>
                <w:szCs w:val="20"/>
              </w:rPr>
              <w:t>Możliwość ciągłego doładowywania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kuwet,</w:t>
            </w:r>
            <w:r w:rsidRPr="004F0730">
              <w:rPr>
                <w:rFonts w:ascii="Bookman Old Style" w:hAnsi="Bookman Old Style"/>
                <w:sz w:val="20"/>
                <w:szCs w:val="20"/>
              </w:rPr>
              <w:t xml:space="preserve"> próbek badanych i odczynników bez konieczności przerywania pracy analizatora.</w:t>
            </w:r>
          </w:p>
          <w:p w14:paraId="2873BBE6" w14:textId="1130E452" w:rsidR="00F140D5" w:rsidRPr="004F0730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Opisać.</w:t>
            </w:r>
          </w:p>
        </w:tc>
        <w:tc>
          <w:tcPr>
            <w:tcW w:w="2384" w:type="dxa"/>
            <w:vAlign w:val="center"/>
          </w:tcPr>
          <w:p w14:paraId="7AFC2AE3" w14:textId="7F949F8D" w:rsidR="00F140D5" w:rsidRPr="008E6C08" w:rsidRDefault="001C6209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3706397B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6209" w:rsidRPr="008E6C08" w14:paraId="6BE35D56" w14:textId="77777777" w:rsidTr="001C6209">
        <w:trPr>
          <w:trHeight w:val="415"/>
        </w:trPr>
        <w:tc>
          <w:tcPr>
            <w:tcW w:w="577" w:type="dxa"/>
            <w:vAlign w:val="center"/>
          </w:tcPr>
          <w:p w14:paraId="1A336C06" w14:textId="482E8539" w:rsidR="001C6209" w:rsidRPr="008E6C08" w:rsidRDefault="001C6209" w:rsidP="001C620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2.15</w:t>
            </w:r>
          </w:p>
        </w:tc>
        <w:tc>
          <w:tcPr>
            <w:tcW w:w="9498" w:type="dxa"/>
            <w:vAlign w:val="center"/>
          </w:tcPr>
          <w:p w14:paraId="15C8107A" w14:textId="77777777" w:rsidR="001C6209" w:rsidRPr="004F0730" w:rsidRDefault="001C6209" w:rsidP="001C6209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4F0730">
              <w:rPr>
                <w:rFonts w:ascii="Bookman Old Style" w:hAnsi="Bookman Old Style"/>
                <w:sz w:val="20"/>
                <w:szCs w:val="20"/>
              </w:rPr>
              <w:t xml:space="preserve">Możliwość przechowywania na pokładzie minimum 300 kuwet reakcyjnych. </w:t>
            </w:r>
          </w:p>
          <w:p w14:paraId="41C3D1C2" w14:textId="507E55A5" w:rsidR="001C6209" w:rsidRPr="004F0730" w:rsidRDefault="001C6209" w:rsidP="001C6209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Podać.</w:t>
            </w:r>
          </w:p>
        </w:tc>
        <w:tc>
          <w:tcPr>
            <w:tcW w:w="2384" w:type="dxa"/>
            <w:vAlign w:val="center"/>
          </w:tcPr>
          <w:p w14:paraId="1052E66E" w14:textId="3B88A44E" w:rsidR="001C6209" w:rsidRPr="008E6C08" w:rsidRDefault="001C6209" w:rsidP="001C62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74A0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575ED377" w14:textId="77777777" w:rsidR="001C6209" w:rsidRPr="008E6C08" w:rsidRDefault="001C6209" w:rsidP="001C62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6209" w:rsidRPr="008E6C08" w14:paraId="7A5CA292" w14:textId="77777777" w:rsidTr="001C6209">
        <w:trPr>
          <w:trHeight w:val="415"/>
        </w:trPr>
        <w:tc>
          <w:tcPr>
            <w:tcW w:w="577" w:type="dxa"/>
            <w:vAlign w:val="center"/>
          </w:tcPr>
          <w:p w14:paraId="457A25FA" w14:textId="004D0A37" w:rsidR="001C6209" w:rsidRPr="008E6C08" w:rsidRDefault="001C6209" w:rsidP="001C620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2.16</w:t>
            </w:r>
          </w:p>
        </w:tc>
        <w:tc>
          <w:tcPr>
            <w:tcW w:w="9498" w:type="dxa"/>
            <w:vAlign w:val="center"/>
          </w:tcPr>
          <w:p w14:paraId="79B8F5AD" w14:textId="77777777" w:rsidR="001C6209" w:rsidRPr="004F0730" w:rsidRDefault="001C6209" w:rsidP="001C6209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4F0730">
              <w:rPr>
                <w:rFonts w:ascii="Bookman Old Style" w:hAnsi="Bookman Old Style"/>
                <w:sz w:val="20"/>
                <w:szCs w:val="20"/>
              </w:rPr>
              <w:t>Monitorowanie poziomu odczynników.</w:t>
            </w:r>
          </w:p>
          <w:p w14:paraId="7A0FBE36" w14:textId="47B5F731" w:rsidR="001C6209" w:rsidRPr="004F0730" w:rsidRDefault="001C6209" w:rsidP="001C6209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Opisać.</w:t>
            </w:r>
          </w:p>
        </w:tc>
        <w:tc>
          <w:tcPr>
            <w:tcW w:w="2384" w:type="dxa"/>
            <w:vAlign w:val="center"/>
          </w:tcPr>
          <w:p w14:paraId="49010804" w14:textId="04140DEB" w:rsidR="001C6209" w:rsidRPr="008E6C08" w:rsidRDefault="001C6209" w:rsidP="001C62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74A0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479D5898" w14:textId="77777777" w:rsidR="001C6209" w:rsidRPr="008E6C08" w:rsidRDefault="001C6209" w:rsidP="001C62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6209" w:rsidRPr="008E6C08" w14:paraId="5CA26099" w14:textId="77777777" w:rsidTr="001C6209">
        <w:trPr>
          <w:trHeight w:val="415"/>
        </w:trPr>
        <w:tc>
          <w:tcPr>
            <w:tcW w:w="577" w:type="dxa"/>
            <w:vAlign w:val="center"/>
          </w:tcPr>
          <w:p w14:paraId="3AAE7178" w14:textId="31E25BD6" w:rsidR="001C6209" w:rsidRPr="008E6C08" w:rsidRDefault="001C6209" w:rsidP="001C620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2.17</w:t>
            </w:r>
          </w:p>
        </w:tc>
        <w:tc>
          <w:tcPr>
            <w:tcW w:w="9498" w:type="dxa"/>
            <w:vAlign w:val="center"/>
          </w:tcPr>
          <w:p w14:paraId="5143E8A7" w14:textId="42D3A1E8" w:rsidR="001C6209" w:rsidRPr="007B449C" w:rsidRDefault="001C6209" w:rsidP="001C6209">
            <w:pPr>
              <w:autoSpaceDE w:val="0"/>
              <w:snapToGrid w:val="0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DD4FC4">
              <w:rPr>
                <w:rFonts w:ascii="Bookman Old Style" w:eastAsia="Arial" w:hAnsi="Bookman Old Style" w:cs="Arial"/>
                <w:sz w:val="20"/>
                <w:szCs w:val="20"/>
              </w:rPr>
              <w:t xml:space="preserve">Możliwość przechowywania na pokładzie dwóch różnych </w:t>
            </w: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serii tego samego odczynnika.  </w:t>
            </w:r>
          </w:p>
        </w:tc>
        <w:tc>
          <w:tcPr>
            <w:tcW w:w="2384" w:type="dxa"/>
            <w:vAlign w:val="center"/>
          </w:tcPr>
          <w:p w14:paraId="35412343" w14:textId="1066B216" w:rsidR="001C6209" w:rsidRPr="008E6C08" w:rsidRDefault="001C6209" w:rsidP="001C62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74A0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1EF29DF4" w14:textId="77777777" w:rsidR="001C6209" w:rsidRPr="008E6C08" w:rsidRDefault="001C6209" w:rsidP="001C62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6209" w:rsidRPr="008E6C08" w14:paraId="5983E0BF" w14:textId="77777777" w:rsidTr="001C6209">
        <w:trPr>
          <w:trHeight w:val="415"/>
        </w:trPr>
        <w:tc>
          <w:tcPr>
            <w:tcW w:w="577" w:type="dxa"/>
            <w:vAlign w:val="center"/>
          </w:tcPr>
          <w:p w14:paraId="00B45517" w14:textId="035A8532" w:rsidR="001C6209" w:rsidRPr="008E6C08" w:rsidRDefault="001C6209" w:rsidP="001C620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2.18</w:t>
            </w:r>
          </w:p>
        </w:tc>
        <w:tc>
          <w:tcPr>
            <w:tcW w:w="9498" w:type="dxa"/>
            <w:vAlign w:val="center"/>
          </w:tcPr>
          <w:p w14:paraId="21310C4E" w14:textId="3A52A8C9" w:rsidR="001C6209" w:rsidRPr="00DD4FC4" w:rsidRDefault="001C6209" w:rsidP="001C6209">
            <w:pPr>
              <w:autoSpaceDE w:val="0"/>
              <w:snapToGrid w:val="0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DD4FC4">
              <w:rPr>
                <w:rFonts w:ascii="Bookman Old Style" w:eastAsia="Arial" w:hAnsi="Bookman Old Style" w:cs="Arial"/>
                <w:sz w:val="20"/>
                <w:szCs w:val="20"/>
              </w:rPr>
              <w:t>Możliwość jednoczesnej pracy w probówk</w:t>
            </w: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ach pierwotnych i wtórnych.    </w:t>
            </w:r>
          </w:p>
        </w:tc>
        <w:tc>
          <w:tcPr>
            <w:tcW w:w="2384" w:type="dxa"/>
            <w:vAlign w:val="center"/>
          </w:tcPr>
          <w:p w14:paraId="71B1C19C" w14:textId="4ECAB4EE" w:rsidR="001C6209" w:rsidRPr="008E6C08" w:rsidRDefault="001C6209" w:rsidP="001C62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74A0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4B5D68A2" w14:textId="77777777" w:rsidR="001C6209" w:rsidRPr="008E6C08" w:rsidRDefault="001C6209" w:rsidP="001C62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6209" w:rsidRPr="008E6C08" w14:paraId="4995DCA7" w14:textId="77777777" w:rsidTr="001C6209">
        <w:trPr>
          <w:trHeight w:val="415"/>
        </w:trPr>
        <w:tc>
          <w:tcPr>
            <w:tcW w:w="577" w:type="dxa"/>
            <w:vAlign w:val="center"/>
          </w:tcPr>
          <w:p w14:paraId="310EA513" w14:textId="3FA17429" w:rsidR="001C6209" w:rsidRPr="008E6C08" w:rsidRDefault="001C6209" w:rsidP="001C620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2.19</w:t>
            </w:r>
          </w:p>
        </w:tc>
        <w:tc>
          <w:tcPr>
            <w:tcW w:w="9498" w:type="dxa"/>
            <w:vAlign w:val="center"/>
          </w:tcPr>
          <w:p w14:paraId="19DF974E" w14:textId="2C7B1E3A" w:rsidR="001C6209" w:rsidRPr="004F0730" w:rsidRDefault="001C6209" w:rsidP="001C6209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DD4FC4">
              <w:rPr>
                <w:rFonts w:ascii="Bookman Old Style" w:eastAsia="Arial" w:hAnsi="Bookman Old Style" w:cs="Arial"/>
                <w:sz w:val="20"/>
                <w:szCs w:val="20"/>
              </w:rPr>
              <w:t>Automatyczne rozcieńczanie próbek na pokładzie i wykonywanie powt</w:t>
            </w:r>
            <w:r>
              <w:rPr>
                <w:rFonts w:ascii="Bookman Old Style" w:eastAsia="Arial" w:hAnsi="Bookman Old Style" w:cs="Arial"/>
                <w:sz w:val="20"/>
                <w:szCs w:val="20"/>
              </w:rPr>
              <w:t>órzeń po przekroczeniu zakresu</w:t>
            </w:r>
            <w:r w:rsidRPr="00DD4FC4">
              <w:rPr>
                <w:rFonts w:ascii="Bookman Old Style" w:eastAsia="Arial" w:hAnsi="Bookman Old Style" w:cs="Arial"/>
                <w:sz w:val="20"/>
                <w:szCs w:val="20"/>
              </w:rPr>
              <w:t xml:space="preserve"> liniowości do uzyskania wyniku końcowego, także dla próbek z nadmiarem antygenu. Opisać  </w:t>
            </w:r>
          </w:p>
        </w:tc>
        <w:tc>
          <w:tcPr>
            <w:tcW w:w="2384" w:type="dxa"/>
            <w:vAlign w:val="center"/>
          </w:tcPr>
          <w:p w14:paraId="31BC572A" w14:textId="518BFE7A" w:rsidR="001C6209" w:rsidRPr="008E6C08" w:rsidRDefault="001C6209" w:rsidP="001C62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74A0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2168B935" w14:textId="77777777" w:rsidR="001C6209" w:rsidRPr="008E6C08" w:rsidRDefault="001C6209" w:rsidP="001C62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6209" w:rsidRPr="008E6C08" w14:paraId="524623A0" w14:textId="77777777" w:rsidTr="001C6209">
        <w:trPr>
          <w:trHeight w:val="415"/>
        </w:trPr>
        <w:tc>
          <w:tcPr>
            <w:tcW w:w="577" w:type="dxa"/>
            <w:vAlign w:val="center"/>
          </w:tcPr>
          <w:p w14:paraId="6F91C637" w14:textId="087D54A2" w:rsidR="001C6209" w:rsidRPr="008E6C08" w:rsidRDefault="001C6209" w:rsidP="001C620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2.20</w:t>
            </w:r>
          </w:p>
        </w:tc>
        <w:tc>
          <w:tcPr>
            <w:tcW w:w="9498" w:type="dxa"/>
            <w:vAlign w:val="center"/>
          </w:tcPr>
          <w:p w14:paraId="466E0C1D" w14:textId="42126710" w:rsidR="001C6209" w:rsidRPr="00DD4FC4" w:rsidRDefault="001C6209" w:rsidP="001C6209">
            <w:pPr>
              <w:spacing w:before="60" w:after="60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DD4FC4">
              <w:rPr>
                <w:rFonts w:ascii="Bookman Old Style" w:eastAsia="Arial" w:hAnsi="Bookman Old Style" w:cs="Arial"/>
                <w:sz w:val="20"/>
                <w:szCs w:val="20"/>
              </w:rPr>
              <w:t>Automatyczna detekcja nadmiaru antygenu, flagowanie wyników z po</w:t>
            </w: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dejrzeniem nadmiaru antygenu.  </w:t>
            </w:r>
          </w:p>
        </w:tc>
        <w:tc>
          <w:tcPr>
            <w:tcW w:w="2384" w:type="dxa"/>
            <w:vAlign w:val="center"/>
          </w:tcPr>
          <w:p w14:paraId="06D3902D" w14:textId="02AE7D5E" w:rsidR="001C6209" w:rsidRPr="008E6C08" w:rsidRDefault="001C6209" w:rsidP="001C62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74A0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7D4EC771" w14:textId="77777777" w:rsidR="001C6209" w:rsidRPr="008E6C08" w:rsidRDefault="001C6209" w:rsidP="001C62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6209" w:rsidRPr="008E6C08" w14:paraId="3D9F93BC" w14:textId="77777777" w:rsidTr="001C6209">
        <w:trPr>
          <w:trHeight w:val="415"/>
        </w:trPr>
        <w:tc>
          <w:tcPr>
            <w:tcW w:w="577" w:type="dxa"/>
            <w:vAlign w:val="center"/>
          </w:tcPr>
          <w:p w14:paraId="16B10610" w14:textId="463A4231" w:rsidR="001C6209" w:rsidRPr="008E6C08" w:rsidRDefault="001C6209" w:rsidP="001C620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2.21</w:t>
            </w:r>
          </w:p>
        </w:tc>
        <w:tc>
          <w:tcPr>
            <w:tcW w:w="9498" w:type="dxa"/>
            <w:vAlign w:val="center"/>
          </w:tcPr>
          <w:p w14:paraId="2042547A" w14:textId="1C7EC446" w:rsidR="001C6209" w:rsidRPr="004F0730" w:rsidRDefault="001C6209" w:rsidP="001C6209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4F0730">
              <w:rPr>
                <w:rFonts w:ascii="Bookman Old Style" w:hAnsi="Bookman Old Style"/>
                <w:sz w:val="20"/>
                <w:szCs w:val="20"/>
              </w:rPr>
              <w:t xml:space="preserve">Zintegrowany z analizatorem czytnik kodów kreskowych odczytujący automatycznie podczas załadowywania kody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próbek do badań i odczynników. </w:t>
            </w:r>
          </w:p>
        </w:tc>
        <w:tc>
          <w:tcPr>
            <w:tcW w:w="2384" w:type="dxa"/>
            <w:vAlign w:val="center"/>
          </w:tcPr>
          <w:p w14:paraId="2BAF9CCB" w14:textId="7B0C39F7" w:rsidR="001C6209" w:rsidRPr="008E6C08" w:rsidRDefault="001C6209" w:rsidP="001C62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74A0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0B1EF4BC" w14:textId="77777777" w:rsidR="001C6209" w:rsidRPr="008E6C08" w:rsidRDefault="001C6209" w:rsidP="001C62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587A572C" w14:textId="77777777" w:rsidTr="001C6209">
        <w:trPr>
          <w:trHeight w:val="402"/>
        </w:trPr>
        <w:tc>
          <w:tcPr>
            <w:tcW w:w="577" w:type="dxa"/>
            <w:vAlign w:val="center"/>
          </w:tcPr>
          <w:p w14:paraId="1F7B6207" w14:textId="1D3BAC09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2.22</w:t>
            </w:r>
          </w:p>
        </w:tc>
        <w:tc>
          <w:tcPr>
            <w:tcW w:w="9498" w:type="dxa"/>
            <w:vAlign w:val="center"/>
          </w:tcPr>
          <w:p w14:paraId="5B6C6C4D" w14:textId="32366637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EF193F">
              <w:rPr>
                <w:rFonts w:ascii="Bookman Old Style" w:hAnsi="Bookman Old Style"/>
                <w:sz w:val="20"/>
                <w:szCs w:val="20"/>
              </w:rPr>
              <w:t>Możliwość wykonywania badań w trybie CITO.</w:t>
            </w:r>
          </w:p>
        </w:tc>
        <w:tc>
          <w:tcPr>
            <w:tcW w:w="2384" w:type="dxa"/>
            <w:vAlign w:val="center"/>
          </w:tcPr>
          <w:p w14:paraId="6983A3EE" w14:textId="368BC936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7A34D91E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452210F1" w14:textId="77777777" w:rsidTr="004F0730">
        <w:trPr>
          <w:trHeight w:val="436"/>
        </w:trPr>
        <w:tc>
          <w:tcPr>
            <w:tcW w:w="577" w:type="dxa"/>
            <w:vAlign w:val="center"/>
          </w:tcPr>
          <w:p w14:paraId="3EF9FDEA" w14:textId="41A037B3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2.23</w:t>
            </w:r>
          </w:p>
        </w:tc>
        <w:tc>
          <w:tcPr>
            <w:tcW w:w="9498" w:type="dxa"/>
            <w:vAlign w:val="center"/>
          </w:tcPr>
          <w:p w14:paraId="178ECBC2" w14:textId="1B98A155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F0730">
              <w:rPr>
                <w:rFonts w:ascii="Bookman Old Style" w:hAnsi="Bookman Old Style"/>
                <w:color w:val="000000"/>
                <w:sz w:val="20"/>
                <w:szCs w:val="20"/>
              </w:rPr>
              <w:t>Pomiar kinetycz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ny w stałej temperaturze 37 °C.</w:t>
            </w:r>
          </w:p>
        </w:tc>
        <w:tc>
          <w:tcPr>
            <w:tcW w:w="2384" w:type="dxa"/>
            <w:vAlign w:val="center"/>
          </w:tcPr>
          <w:p w14:paraId="5C2B8B78" w14:textId="2BB2EDFE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0D926B11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391B8539" w14:textId="77777777" w:rsidTr="00EF193F">
        <w:trPr>
          <w:trHeight w:val="540"/>
        </w:trPr>
        <w:tc>
          <w:tcPr>
            <w:tcW w:w="577" w:type="dxa"/>
            <w:vAlign w:val="center"/>
          </w:tcPr>
          <w:p w14:paraId="28A0E943" w14:textId="69331EB2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2.24</w:t>
            </w:r>
          </w:p>
        </w:tc>
        <w:tc>
          <w:tcPr>
            <w:tcW w:w="9498" w:type="dxa"/>
            <w:vAlign w:val="center"/>
          </w:tcPr>
          <w:p w14:paraId="402181B0" w14:textId="685CF6D0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F0730">
              <w:rPr>
                <w:rFonts w:ascii="Bookman Old Style" w:hAnsi="Bookman Old Style"/>
                <w:color w:val="000000"/>
                <w:sz w:val="20"/>
                <w:szCs w:val="20"/>
              </w:rPr>
              <w:t>Możliwość pracy analizator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 w trybie 24 godziny na dobę. </w:t>
            </w:r>
          </w:p>
        </w:tc>
        <w:tc>
          <w:tcPr>
            <w:tcW w:w="2384" w:type="dxa"/>
            <w:vAlign w:val="center"/>
          </w:tcPr>
          <w:p w14:paraId="60790850" w14:textId="0A60E6CB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1E40DAED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6931D822" w14:textId="77777777" w:rsidTr="00E873F0">
        <w:trPr>
          <w:trHeight w:val="620"/>
        </w:trPr>
        <w:tc>
          <w:tcPr>
            <w:tcW w:w="577" w:type="dxa"/>
            <w:vAlign w:val="center"/>
          </w:tcPr>
          <w:p w14:paraId="2A21F5DB" w14:textId="44F6B777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2.25</w:t>
            </w:r>
          </w:p>
        </w:tc>
        <w:tc>
          <w:tcPr>
            <w:tcW w:w="9498" w:type="dxa"/>
            <w:vAlign w:val="center"/>
          </w:tcPr>
          <w:p w14:paraId="6F9FF8E4" w14:textId="77777777" w:rsidR="00F140D5" w:rsidRPr="004F0730" w:rsidRDefault="00F140D5" w:rsidP="00F140D5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F073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Wielopunktowa kalibracja. </w:t>
            </w:r>
          </w:p>
          <w:p w14:paraId="73E19D26" w14:textId="40F40ADC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Opisać.</w:t>
            </w:r>
          </w:p>
        </w:tc>
        <w:tc>
          <w:tcPr>
            <w:tcW w:w="2384" w:type="dxa"/>
            <w:vAlign w:val="center"/>
          </w:tcPr>
          <w:p w14:paraId="3156A10C" w14:textId="4282B218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636D0A52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791E91FF" w14:textId="77777777" w:rsidTr="00E873F0">
        <w:trPr>
          <w:trHeight w:val="620"/>
        </w:trPr>
        <w:tc>
          <w:tcPr>
            <w:tcW w:w="577" w:type="dxa"/>
            <w:vAlign w:val="center"/>
          </w:tcPr>
          <w:p w14:paraId="58995C4D" w14:textId="55995C59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2.26</w:t>
            </w:r>
          </w:p>
        </w:tc>
        <w:tc>
          <w:tcPr>
            <w:tcW w:w="9498" w:type="dxa"/>
            <w:vAlign w:val="center"/>
          </w:tcPr>
          <w:p w14:paraId="0E76DE5A" w14:textId="3423BBE5" w:rsidR="00F140D5" w:rsidRPr="004F0730" w:rsidRDefault="00F140D5" w:rsidP="00F140D5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F193F">
              <w:rPr>
                <w:rFonts w:ascii="Bookman Old Style" w:hAnsi="Bookman Old Style"/>
                <w:color w:val="000000"/>
                <w:sz w:val="20"/>
                <w:szCs w:val="20"/>
              </w:rPr>
              <w:t>Możliwość archiwizacji wyników pacjentów, kontroli i krzywych kalibracyjnych w oprogramowaniu analizatora.</w:t>
            </w:r>
          </w:p>
        </w:tc>
        <w:tc>
          <w:tcPr>
            <w:tcW w:w="2384" w:type="dxa"/>
            <w:vAlign w:val="center"/>
          </w:tcPr>
          <w:p w14:paraId="013CD726" w14:textId="4EBF654F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161685FA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07905C31" w14:textId="77777777" w:rsidTr="00E873F0">
        <w:trPr>
          <w:trHeight w:val="620"/>
        </w:trPr>
        <w:tc>
          <w:tcPr>
            <w:tcW w:w="577" w:type="dxa"/>
            <w:vAlign w:val="center"/>
          </w:tcPr>
          <w:p w14:paraId="1375933F" w14:textId="61798F48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2.27</w:t>
            </w:r>
          </w:p>
        </w:tc>
        <w:tc>
          <w:tcPr>
            <w:tcW w:w="9498" w:type="dxa"/>
            <w:vAlign w:val="center"/>
          </w:tcPr>
          <w:p w14:paraId="5A483E71" w14:textId="77777777" w:rsidR="00F140D5" w:rsidRPr="004F0730" w:rsidRDefault="00F140D5" w:rsidP="00F140D5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F073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Możliwość zastosowania minimum dwóch zakresów mierzalnych kontroli. </w:t>
            </w:r>
          </w:p>
          <w:p w14:paraId="209E927C" w14:textId="5C29673F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Opisać.</w:t>
            </w:r>
          </w:p>
        </w:tc>
        <w:tc>
          <w:tcPr>
            <w:tcW w:w="2384" w:type="dxa"/>
            <w:vAlign w:val="center"/>
          </w:tcPr>
          <w:p w14:paraId="7E666B2C" w14:textId="2AF70CF9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3A2A65CE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462CBE3B" w14:textId="77777777" w:rsidTr="00E873F0">
        <w:trPr>
          <w:trHeight w:val="620"/>
        </w:trPr>
        <w:tc>
          <w:tcPr>
            <w:tcW w:w="577" w:type="dxa"/>
            <w:vAlign w:val="center"/>
          </w:tcPr>
          <w:p w14:paraId="02060F2C" w14:textId="58FC3A5F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2.28</w:t>
            </w:r>
          </w:p>
        </w:tc>
        <w:tc>
          <w:tcPr>
            <w:tcW w:w="9498" w:type="dxa"/>
            <w:vAlign w:val="center"/>
          </w:tcPr>
          <w:p w14:paraId="3D80BF36" w14:textId="22D77502" w:rsidR="00F140D5" w:rsidRPr="008E6C08" w:rsidRDefault="00F140D5" w:rsidP="00F140D5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F0730">
              <w:rPr>
                <w:rFonts w:ascii="Bookman Old Style" w:hAnsi="Bookman Old Style"/>
                <w:color w:val="000000"/>
                <w:sz w:val="20"/>
                <w:szCs w:val="20"/>
              </w:rPr>
              <w:t>System kontroli jakości z opcją graf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iczną (wykresy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Levy-Jenningsa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384" w:type="dxa"/>
            <w:vAlign w:val="center"/>
          </w:tcPr>
          <w:p w14:paraId="0F344540" w14:textId="373283B9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63516F6E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657008FF" w14:textId="77777777" w:rsidTr="002E43AB">
        <w:trPr>
          <w:trHeight w:val="414"/>
        </w:trPr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3CFD3388" w14:textId="2A479F2D" w:rsidR="00F140D5" w:rsidRPr="002E43AB" w:rsidRDefault="00F140D5" w:rsidP="00F140D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498" w:type="dxa"/>
            <w:shd w:val="clear" w:color="auto" w:fill="F2F2F2" w:themeFill="background1" w:themeFillShade="F2"/>
          </w:tcPr>
          <w:p w14:paraId="554A468D" w14:textId="5E85CD20" w:rsidR="00F140D5" w:rsidRPr="002E43AB" w:rsidRDefault="00F140D5" w:rsidP="00F140D5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E43AB">
              <w:rPr>
                <w:rFonts w:ascii="Bookman Old Style" w:hAnsi="Bookman Old Style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1D816492" w14:textId="21513CC4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44" w:type="dxa"/>
          </w:tcPr>
          <w:p w14:paraId="07FBE43F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40D5" w:rsidRPr="008E6C08" w14:paraId="72CFEEAB" w14:textId="77777777" w:rsidTr="00F326E0">
        <w:trPr>
          <w:trHeight w:val="620"/>
        </w:trPr>
        <w:tc>
          <w:tcPr>
            <w:tcW w:w="577" w:type="dxa"/>
            <w:vAlign w:val="center"/>
          </w:tcPr>
          <w:p w14:paraId="0785540D" w14:textId="6152A3C4" w:rsidR="00F140D5" w:rsidRPr="008E6C08" w:rsidRDefault="00F140D5" w:rsidP="00F140D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3.1</w:t>
            </w:r>
          </w:p>
        </w:tc>
        <w:tc>
          <w:tcPr>
            <w:tcW w:w="9498" w:type="dxa"/>
          </w:tcPr>
          <w:p w14:paraId="20F6215C" w14:textId="696B8FBE" w:rsidR="00F140D5" w:rsidRPr="00DE21E2" w:rsidRDefault="00F140D5" w:rsidP="004F4CBB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E21E2">
              <w:rPr>
                <w:rFonts w:ascii="Bookman Old Style" w:hAnsi="Bookman Old Style"/>
                <w:sz w:val="20"/>
                <w:szCs w:val="20"/>
              </w:rPr>
              <w:t xml:space="preserve">Zapewnienie udziału laboratorium w wewnętrznym systemie kontroli jakości </w:t>
            </w:r>
            <w:r w:rsidR="00077DC3" w:rsidRPr="00DE21E2">
              <w:rPr>
                <w:rFonts w:ascii="Bookman Old Style" w:hAnsi="Bookman Old Style"/>
                <w:sz w:val="20"/>
                <w:szCs w:val="20"/>
              </w:rPr>
              <w:t xml:space="preserve">dla </w:t>
            </w:r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następujących </w:t>
            </w:r>
            <w:r w:rsidR="00077DC3">
              <w:rPr>
                <w:rFonts w:ascii="Bookman Old Style" w:hAnsi="Bookman Old Style"/>
                <w:sz w:val="20"/>
                <w:szCs w:val="20"/>
              </w:rPr>
              <w:t>parametrów</w:t>
            </w:r>
            <w:r w:rsidR="004F4CBB">
              <w:rPr>
                <w:rFonts w:ascii="Bookman Old Style" w:hAnsi="Bookman Old Style"/>
                <w:sz w:val="20"/>
                <w:szCs w:val="20"/>
              </w:rPr>
              <w:t>: FLC kappa, FLC lambda, IgA1, IgA2, IgG1,</w:t>
            </w:r>
            <w:r w:rsidR="004F4CBB" w:rsidRPr="00DE21E2">
              <w:rPr>
                <w:rFonts w:ascii="Bookman Old Style" w:hAnsi="Bookman Old Style"/>
                <w:sz w:val="20"/>
                <w:szCs w:val="20"/>
              </w:rPr>
              <w:t xml:space="preserve"> IgG2, IgG3, IgG4,</w:t>
            </w:r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Hevylite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IgG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kappa,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Hevylite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IgG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lambda,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Hevylite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IgA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kappa,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Hevylite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IgA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lambda,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Hevylite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IgM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kappa,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Hevylite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IgM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 lambda, C1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inakt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>., C3</w:t>
            </w:r>
            <w:r w:rsidR="00937D3F">
              <w:rPr>
                <w:rFonts w:ascii="Bookman Old Style" w:hAnsi="Bookman Old Style"/>
                <w:sz w:val="20"/>
                <w:szCs w:val="20"/>
              </w:rPr>
              <w:t>c</w:t>
            </w:r>
            <w:r w:rsidR="004F4CBB">
              <w:rPr>
                <w:rFonts w:ascii="Bookman Old Style" w:hAnsi="Bookman Old Style"/>
                <w:sz w:val="20"/>
                <w:szCs w:val="20"/>
              </w:rPr>
              <w:t xml:space="preserve">, C4, CH50, </w:t>
            </w:r>
            <w:proofErr w:type="spellStart"/>
            <w:r w:rsidR="004F4CBB">
              <w:rPr>
                <w:rFonts w:ascii="Bookman Old Style" w:hAnsi="Bookman Old Style"/>
                <w:sz w:val="20"/>
                <w:szCs w:val="20"/>
              </w:rPr>
              <w:t>sTfR</w:t>
            </w:r>
            <w:proofErr w:type="spellEnd"/>
            <w:r w:rsidR="004F4CB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384" w:type="dxa"/>
            <w:vAlign w:val="center"/>
          </w:tcPr>
          <w:p w14:paraId="1D6A8776" w14:textId="314D2CB8" w:rsidR="00F140D5" w:rsidRPr="008E6C08" w:rsidRDefault="00F140D5" w:rsidP="00F140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1ADB86D2" w14:textId="77777777" w:rsidR="00F140D5" w:rsidRPr="008E6C08" w:rsidRDefault="00F140D5" w:rsidP="00F140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77DC3" w:rsidRPr="008E6C08" w14:paraId="06760296" w14:textId="77777777" w:rsidTr="00F326E0">
        <w:trPr>
          <w:trHeight w:val="620"/>
        </w:trPr>
        <w:tc>
          <w:tcPr>
            <w:tcW w:w="577" w:type="dxa"/>
            <w:vAlign w:val="center"/>
          </w:tcPr>
          <w:p w14:paraId="55AA275F" w14:textId="0D9AB44A" w:rsidR="00077DC3" w:rsidRDefault="00077DC3" w:rsidP="00077DC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3.2</w:t>
            </w:r>
          </w:p>
        </w:tc>
        <w:tc>
          <w:tcPr>
            <w:tcW w:w="9498" w:type="dxa"/>
          </w:tcPr>
          <w:p w14:paraId="7BB5591A" w14:textId="519D31AF" w:rsidR="00077DC3" w:rsidRPr="00DE21E2" w:rsidRDefault="00077DC3" w:rsidP="00077DC3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DE21E2">
              <w:rPr>
                <w:rFonts w:ascii="Bookman Old Style" w:hAnsi="Bookman Old Style"/>
                <w:sz w:val="20"/>
                <w:szCs w:val="20"/>
              </w:rPr>
              <w:t xml:space="preserve">Zapewnienie udziału laboratorium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w </w:t>
            </w:r>
            <w:r w:rsidRPr="00DE21E2">
              <w:rPr>
                <w:rFonts w:ascii="Bookman Old Style" w:hAnsi="Bookman Old Style"/>
                <w:sz w:val="20"/>
                <w:szCs w:val="20"/>
              </w:rPr>
              <w:t>zewnętrznym systemie kontroli jakości wskazanym przez Zamawiającego dla następujący</w:t>
            </w:r>
            <w:r w:rsidR="004F4CBB">
              <w:rPr>
                <w:rFonts w:ascii="Bookman Old Style" w:hAnsi="Bookman Old Style"/>
                <w:sz w:val="20"/>
                <w:szCs w:val="20"/>
              </w:rPr>
              <w:t>ch parametrów: IgA1, IgA2, IgG1, IgG2, IgG3, IgG4.</w:t>
            </w:r>
            <w:r w:rsidRPr="00DE21E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vAlign w:val="center"/>
          </w:tcPr>
          <w:p w14:paraId="7728225E" w14:textId="1B0AA416" w:rsidR="00077DC3" w:rsidRPr="008E6C08" w:rsidRDefault="00077DC3" w:rsidP="00077D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59BB6DF4" w14:textId="77777777" w:rsidR="00077DC3" w:rsidRPr="008E6C08" w:rsidRDefault="00077DC3" w:rsidP="00077DC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77DC3" w:rsidRPr="008E6C08" w14:paraId="1EBC892F" w14:textId="77777777" w:rsidTr="00F326E0">
        <w:trPr>
          <w:trHeight w:val="620"/>
        </w:trPr>
        <w:tc>
          <w:tcPr>
            <w:tcW w:w="577" w:type="dxa"/>
            <w:vAlign w:val="center"/>
          </w:tcPr>
          <w:p w14:paraId="7737C39E" w14:textId="03034045" w:rsidR="00077DC3" w:rsidRPr="008E6C08" w:rsidRDefault="00077DC3" w:rsidP="00077DC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3.3</w:t>
            </w:r>
          </w:p>
        </w:tc>
        <w:tc>
          <w:tcPr>
            <w:tcW w:w="9498" w:type="dxa"/>
          </w:tcPr>
          <w:p w14:paraId="3EA481FE" w14:textId="77777777" w:rsidR="00077DC3" w:rsidRDefault="00077DC3" w:rsidP="00077DC3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2E43AB">
              <w:rPr>
                <w:rFonts w:ascii="Bookman Old Style" w:hAnsi="Bookman Old Style"/>
                <w:sz w:val="20"/>
                <w:szCs w:val="20"/>
              </w:rPr>
              <w:t xml:space="preserve">Testy do oznaczania wolnych lekkich łańcuchów zgodne z zaleceniami Polskiej </w:t>
            </w:r>
          </w:p>
          <w:p w14:paraId="31586BBA" w14:textId="5EBE1E7D" w:rsidR="00077DC3" w:rsidRPr="002E43AB" w:rsidRDefault="00077DC3" w:rsidP="00077DC3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E43AB">
              <w:rPr>
                <w:rFonts w:ascii="Bookman Old Style" w:hAnsi="Bookman Old Style"/>
                <w:sz w:val="20"/>
                <w:szCs w:val="20"/>
              </w:rPr>
              <w:t xml:space="preserve">i Międzynarodowej Grupy </w:t>
            </w:r>
            <w:proofErr w:type="spellStart"/>
            <w:r w:rsidRPr="002E43AB">
              <w:rPr>
                <w:rFonts w:ascii="Bookman Old Style" w:hAnsi="Bookman Old Style"/>
                <w:sz w:val="20"/>
                <w:szCs w:val="20"/>
              </w:rPr>
              <w:t>Szpiczakowej</w:t>
            </w:r>
            <w:proofErr w:type="spellEnd"/>
            <w:r w:rsidRPr="002E43A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384" w:type="dxa"/>
            <w:vAlign w:val="center"/>
          </w:tcPr>
          <w:p w14:paraId="282984A1" w14:textId="78B95B45" w:rsidR="00077DC3" w:rsidRPr="008E6C08" w:rsidRDefault="00077DC3" w:rsidP="00077D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5BD1E7F5" w14:textId="77777777" w:rsidR="00077DC3" w:rsidRPr="008E6C08" w:rsidRDefault="00077DC3" w:rsidP="00077DC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77DC3" w:rsidRPr="008E6C08" w14:paraId="0AD9694A" w14:textId="77777777" w:rsidTr="00EF193F">
        <w:trPr>
          <w:trHeight w:val="389"/>
        </w:trPr>
        <w:tc>
          <w:tcPr>
            <w:tcW w:w="577" w:type="dxa"/>
            <w:vAlign w:val="center"/>
          </w:tcPr>
          <w:p w14:paraId="01AE478B" w14:textId="2EC55230" w:rsidR="00077DC3" w:rsidRPr="008E6C08" w:rsidRDefault="00077DC3" w:rsidP="00077DC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Pr="008E6C08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9498" w:type="dxa"/>
          </w:tcPr>
          <w:p w14:paraId="15FB40B1" w14:textId="2C7C4B96" w:rsidR="00077DC3" w:rsidRPr="002E43AB" w:rsidRDefault="00077DC3" w:rsidP="00077DC3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EF193F">
              <w:rPr>
                <w:rFonts w:ascii="Bookman Old Style" w:hAnsi="Bookman Old Style"/>
                <w:sz w:val="20"/>
                <w:szCs w:val="20"/>
              </w:rPr>
              <w:t xml:space="preserve">Standaryzacja odczynników do oznaczania podklas </w:t>
            </w:r>
            <w:proofErr w:type="spellStart"/>
            <w:r w:rsidRPr="00EF193F">
              <w:rPr>
                <w:rFonts w:ascii="Bookman Old Style" w:hAnsi="Bookman Old Style"/>
                <w:sz w:val="20"/>
                <w:szCs w:val="20"/>
              </w:rPr>
              <w:t>IgG</w:t>
            </w:r>
            <w:proofErr w:type="spellEnd"/>
            <w:r w:rsidRPr="00EF193F">
              <w:rPr>
                <w:rFonts w:ascii="Bookman Old Style" w:hAnsi="Bookman Old Style"/>
                <w:sz w:val="20"/>
                <w:szCs w:val="20"/>
              </w:rPr>
              <w:t xml:space="preserve"> wg DA470k/IFCC.           </w:t>
            </w:r>
          </w:p>
        </w:tc>
        <w:tc>
          <w:tcPr>
            <w:tcW w:w="2384" w:type="dxa"/>
            <w:vAlign w:val="center"/>
          </w:tcPr>
          <w:p w14:paraId="62ED8BAF" w14:textId="4E41D619" w:rsidR="00077DC3" w:rsidRPr="008E6C08" w:rsidRDefault="00077DC3" w:rsidP="00077D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4E14B10F" w14:textId="77777777" w:rsidR="00077DC3" w:rsidRPr="008E6C08" w:rsidRDefault="00077DC3" w:rsidP="00077DC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77DC3" w:rsidRPr="008E6C08" w14:paraId="41728470" w14:textId="77777777" w:rsidTr="00F326E0">
        <w:trPr>
          <w:trHeight w:val="620"/>
        </w:trPr>
        <w:tc>
          <w:tcPr>
            <w:tcW w:w="577" w:type="dxa"/>
            <w:vAlign w:val="center"/>
          </w:tcPr>
          <w:p w14:paraId="36C499B4" w14:textId="62EEBAFA" w:rsidR="00077DC3" w:rsidRPr="008E6C08" w:rsidRDefault="00077DC3" w:rsidP="00077DC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3.5</w:t>
            </w:r>
          </w:p>
        </w:tc>
        <w:tc>
          <w:tcPr>
            <w:tcW w:w="9498" w:type="dxa"/>
            <w:shd w:val="clear" w:color="auto" w:fill="auto"/>
          </w:tcPr>
          <w:p w14:paraId="2F496529" w14:textId="61DFBA69" w:rsidR="00077DC3" w:rsidRPr="001B26BC" w:rsidRDefault="00077DC3" w:rsidP="00077DC3">
            <w:pPr>
              <w:pStyle w:val="Tekstpodstawowy31"/>
              <w:jc w:val="both"/>
              <w:rPr>
                <w:rFonts w:ascii="Bookman Old Style" w:hAnsi="Bookman Old Style"/>
                <w:b w:val="0"/>
              </w:rPr>
            </w:pPr>
            <w:r w:rsidRPr="001B26BC">
              <w:rPr>
                <w:rFonts w:ascii="Bookman Old Style" w:eastAsia="Arial" w:hAnsi="Bookman Old Style"/>
                <w:b w:val="0"/>
              </w:rPr>
              <w:t xml:space="preserve">Zagwarantowanie dostępności </w:t>
            </w:r>
            <w:r w:rsidRPr="001B26BC">
              <w:rPr>
                <w:rFonts w:ascii="Bookman Old Style" w:eastAsia="Mangal" w:hAnsi="Bookman Old Style"/>
                <w:b w:val="0"/>
              </w:rPr>
              <w:t>serwisu, oprogramowania i części zamiennych w całym okresie najmu.</w:t>
            </w:r>
          </w:p>
        </w:tc>
        <w:tc>
          <w:tcPr>
            <w:tcW w:w="2384" w:type="dxa"/>
            <w:vAlign w:val="center"/>
          </w:tcPr>
          <w:p w14:paraId="2DBA9669" w14:textId="219C1436" w:rsidR="00077DC3" w:rsidRPr="008E6C08" w:rsidRDefault="00077DC3" w:rsidP="00077D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6A28FCAE" w14:textId="77777777" w:rsidR="00077DC3" w:rsidRPr="008E6C08" w:rsidRDefault="00077DC3" w:rsidP="00077DC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77DC3" w:rsidRPr="008E6C08" w14:paraId="45DF0F5C" w14:textId="77777777" w:rsidTr="00F326E0">
        <w:trPr>
          <w:trHeight w:val="431"/>
        </w:trPr>
        <w:tc>
          <w:tcPr>
            <w:tcW w:w="577" w:type="dxa"/>
            <w:vAlign w:val="center"/>
          </w:tcPr>
          <w:p w14:paraId="1B01A8AB" w14:textId="7B87FADC" w:rsidR="00077DC3" w:rsidRPr="008E6C08" w:rsidRDefault="00077DC3" w:rsidP="00077DC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3.6</w:t>
            </w:r>
          </w:p>
        </w:tc>
        <w:tc>
          <w:tcPr>
            <w:tcW w:w="9498" w:type="dxa"/>
            <w:shd w:val="clear" w:color="auto" w:fill="auto"/>
          </w:tcPr>
          <w:p w14:paraId="29B073E0" w14:textId="5EFF3937" w:rsidR="00077DC3" w:rsidRPr="001B26BC" w:rsidRDefault="00077DC3" w:rsidP="00077DC3">
            <w:pPr>
              <w:pStyle w:val="Tekstpodstawowy31"/>
              <w:jc w:val="both"/>
              <w:rPr>
                <w:rFonts w:ascii="Bookman Old Style" w:hAnsi="Bookman Old Style"/>
                <w:b w:val="0"/>
              </w:rPr>
            </w:pPr>
            <w:r w:rsidRPr="001B26BC">
              <w:rPr>
                <w:rFonts w:ascii="Bookman Old Style" w:hAnsi="Bookman Old Style" w:cs="Tahoma"/>
                <w:b w:val="0"/>
              </w:rPr>
              <w:t>Możliwość wprowadzania nowych testów pojawiających się w ofercie producenta w czasie trwania umowy</w:t>
            </w:r>
          </w:p>
        </w:tc>
        <w:tc>
          <w:tcPr>
            <w:tcW w:w="2384" w:type="dxa"/>
            <w:vAlign w:val="center"/>
          </w:tcPr>
          <w:p w14:paraId="715A2459" w14:textId="7BC02DA9" w:rsidR="00077DC3" w:rsidRPr="008E6C08" w:rsidRDefault="00077DC3" w:rsidP="00077D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2A317194" w14:textId="77777777" w:rsidR="00077DC3" w:rsidRPr="008E6C08" w:rsidRDefault="00077DC3" w:rsidP="00077DC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77DC3" w:rsidRPr="008E6C08" w14:paraId="1295C518" w14:textId="77777777" w:rsidTr="00F326E0">
        <w:tc>
          <w:tcPr>
            <w:tcW w:w="577" w:type="dxa"/>
            <w:vAlign w:val="center"/>
          </w:tcPr>
          <w:p w14:paraId="42195F4E" w14:textId="63DDC428" w:rsidR="00077DC3" w:rsidRPr="008E6C08" w:rsidRDefault="00077DC3" w:rsidP="00077DC3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3.7</w:t>
            </w:r>
          </w:p>
        </w:tc>
        <w:tc>
          <w:tcPr>
            <w:tcW w:w="9498" w:type="dxa"/>
            <w:shd w:val="clear" w:color="auto" w:fill="auto"/>
          </w:tcPr>
          <w:p w14:paraId="626A12F1" w14:textId="02C6670A" w:rsidR="00077DC3" w:rsidRPr="002E43AB" w:rsidRDefault="00077DC3" w:rsidP="00077DC3">
            <w:pPr>
              <w:spacing w:before="60" w:after="6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E43AB">
              <w:rPr>
                <w:rFonts w:ascii="Bookman Old Style" w:hAnsi="Bookman Old Style"/>
                <w:sz w:val="20"/>
                <w:szCs w:val="20"/>
              </w:rPr>
              <w:t>Okres gwarancji na cały okres najmu.</w:t>
            </w:r>
          </w:p>
        </w:tc>
        <w:tc>
          <w:tcPr>
            <w:tcW w:w="2384" w:type="dxa"/>
            <w:vAlign w:val="center"/>
          </w:tcPr>
          <w:p w14:paraId="1A659F10" w14:textId="10E89FFB" w:rsidR="00077DC3" w:rsidRPr="008E6C08" w:rsidRDefault="00077DC3" w:rsidP="00077D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6C08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2544" w:type="dxa"/>
          </w:tcPr>
          <w:p w14:paraId="4793F7C9" w14:textId="77777777" w:rsidR="00077DC3" w:rsidRPr="008E6C08" w:rsidRDefault="00077DC3" w:rsidP="00077DC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14:paraId="6309447E" w14:textId="77777777" w:rsidR="00BE269B" w:rsidRPr="008E6C08" w:rsidRDefault="00BE269B" w:rsidP="00BE269B">
      <w:pPr>
        <w:rPr>
          <w:rFonts w:ascii="Bookman Old Style" w:hAnsi="Bookman Old Style"/>
          <w:sz w:val="20"/>
          <w:szCs w:val="20"/>
        </w:rPr>
      </w:pPr>
    </w:p>
    <w:p w14:paraId="5A5A5FC5" w14:textId="77777777" w:rsidR="002762D9" w:rsidRPr="001B26BC" w:rsidRDefault="002762D9" w:rsidP="002762D9">
      <w:pPr>
        <w:rPr>
          <w:rFonts w:ascii="Bookman Old Style" w:hAnsi="Bookman Old Style"/>
          <w:sz w:val="20"/>
          <w:szCs w:val="20"/>
        </w:rPr>
      </w:pPr>
      <w:r w:rsidRPr="001B26BC">
        <w:rPr>
          <w:rFonts w:ascii="Bookman Old Style" w:hAnsi="Bookman Old Style"/>
          <w:sz w:val="20"/>
          <w:szCs w:val="20"/>
        </w:rPr>
        <w:t xml:space="preserve">Oferowany analizator musi spełniać wszystkie warunki graniczne - potwierdzone w załączonych materiałach (ulotki, biuletyny, instrukcje). </w:t>
      </w:r>
    </w:p>
    <w:p w14:paraId="7595706F" w14:textId="6D7BB242" w:rsidR="002A150C" w:rsidRPr="001B26BC" w:rsidRDefault="002762D9" w:rsidP="002762D9">
      <w:pPr>
        <w:rPr>
          <w:rFonts w:ascii="Bookman Old Style" w:hAnsi="Bookman Old Style"/>
          <w:sz w:val="20"/>
          <w:szCs w:val="20"/>
        </w:rPr>
      </w:pPr>
      <w:r w:rsidRPr="001B26BC">
        <w:rPr>
          <w:rFonts w:ascii="Bookman Old Style" w:hAnsi="Bookman Old Style"/>
          <w:sz w:val="20"/>
          <w:szCs w:val="20"/>
        </w:rPr>
        <w:t>W innym przypadku oferta zostanie uznana za nieważną i odrzucona.</w:t>
      </w:r>
    </w:p>
    <w:sectPr w:rsidR="002A150C" w:rsidRPr="001B26BC" w:rsidSect="00BE269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A78A" w14:textId="77777777" w:rsidR="00B54499" w:rsidRDefault="00B54499" w:rsidP="00E145C8">
      <w:r>
        <w:separator/>
      </w:r>
    </w:p>
  </w:endnote>
  <w:endnote w:type="continuationSeparator" w:id="0">
    <w:p w14:paraId="38CE0BED" w14:textId="77777777" w:rsidR="00B54499" w:rsidRDefault="00B54499" w:rsidP="00E1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D7F9" w14:textId="77777777" w:rsidR="00B54499" w:rsidRDefault="00B54499" w:rsidP="00E145C8">
      <w:r>
        <w:separator/>
      </w:r>
    </w:p>
  </w:footnote>
  <w:footnote w:type="continuationSeparator" w:id="0">
    <w:p w14:paraId="307690F2" w14:textId="77777777" w:rsidR="00B54499" w:rsidRDefault="00B54499" w:rsidP="00E1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046E" w14:textId="1818C2E9" w:rsidR="00E145C8" w:rsidRDefault="00E145C8">
    <w:pPr>
      <w:pStyle w:val="Nagwek"/>
    </w:pPr>
    <w:r>
      <w:t xml:space="preserve">Załącznik nr </w:t>
    </w:r>
    <w:r w:rsidR="009675DE">
      <w:t>2A</w:t>
    </w:r>
  </w:p>
  <w:p w14:paraId="7A521FD5" w14:textId="77777777" w:rsidR="00E145C8" w:rsidRDefault="00E14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5E8"/>
    <w:multiLevelType w:val="hybridMultilevel"/>
    <w:tmpl w:val="DE6C6BD2"/>
    <w:lvl w:ilvl="0" w:tplc="82EAEB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1B67"/>
    <w:multiLevelType w:val="hybridMultilevel"/>
    <w:tmpl w:val="082E37F2"/>
    <w:lvl w:ilvl="0" w:tplc="49721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8C7"/>
    <w:multiLevelType w:val="hybridMultilevel"/>
    <w:tmpl w:val="6D8C16A0"/>
    <w:lvl w:ilvl="0" w:tplc="49721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25862"/>
    <w:multiLevelType w:val="hybridMultilevel"/>
    <w:tmpl w:val="3EE2BC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ADA1A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64773"/>
    <w:multiLevelType w:val="hybridMultilevel"/>
    <w:tmpl w:val="8B5C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82864">
    <w:abstractNumId w:val="4"/>
  </w:num>
  <w:num w:numId="2" w16cid:durableId="305817321">
    <w:abstractNumId w:val="1"/>
  </w:num>
  <w:num w:numId="3" w16cid:durableId="2076007757">
    <w:abstractNumId w:val="2"/>
  </w:num>
  <w:num w:numId="4" w16cid:durableId="515268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089605">
    <w:abstractNumId w:val="3"/>
  </w:num>
  <w:num w:numId="6" w16cid:durableId="6345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9B"/>
    <w:rsid w:val="00020403"/>
    <w:rsid w:val="00060020"/>
    <w:rsid w:val="000734EB"/>
    <w:rsid w:val="00077DC3"/>
    <w:rsid w:val="000A077C"/>
    <w:rsid w:val="000A4033"/>
    <w:rsid w:val="000C67EF"/>
    <w:rsid w:val="000C7DB9"/>
    <w:rsid w:val="00126CA5"/>
    <w:rsid w:val="00163ECD"/>
    <w:rsid w:val="00177260"/>
    <w:rsid w:val="001B26BC"/>
    <w:rsid w:val="001C6209"/>
    <w:rsid w:val="001D7DFA"/>
    <w:rsid w:val="0023099A"/>
    <w:rsid w:val="00265950"/>
    <w:rsid w:val="002762D9"/>
    <w:rsid w:val="00294D3E"/>
    <w:rsid w:val="002A0031"/>
    <w:rsid w:val="002A150C"/>
    <w:rsid w:val="002C3ABB"/>
    <w:rsid w:val="002E13B3"/>
    <w:rsid w:val="002E43AB"/>
    <w:rsid w:val="003111F4"/>
    <w:rsid w:val="00337C04"/>
    <w:rsid w:val="003E43B2"/>
    <w:rsid w:val="0040352E"/>
    <w:rsid w:val="00406D6B"/>
    <w:rsid w:val="00440ED8"/>
    <w:rsid w:val="00456263"/>
    <w:rsid w:val="00461936"/>
    <w:rsid w:val="00492800"/>
    <w:rsid w:val="00493EF4"/>
    <w:rsid w:val="004A7FCE"/>
    <w:rsid w:val="004C0F1A"/>
    <w:rsid w:val="004E60A5"/>
    <w:rsid w:val="004F0730"/>
    <w:rsid w:val="004F4CBB"/>
    <w:rsid w:val="00515E9E"/>
    <w:rsid w:val="00517D42"/>
    <w:rsid w:val="005363BA"/>
    <w:rsid w:val="0055148A"/>
    <w:rsid w:val="005D74B8"/>
    <w:rsid w:val="005E728C"/>
    <w:rsid w:val="005F1D08"/>
    <w:rsid w:val="0068344A"/>
    <w:rsid w:val="006859BA"/>
    <w:rsid w:val="006F1B6F"/>
    <w:rsid w:val="006F339B"/>
    <w:rsid w:val="007624A1"/>
    <w:rsid w:val="007A4065"/>
    <w:rsid w:val="007B449C"/>
    <w:rsid w:val="007D5A55"/>
    <w:rsid w:val="007E0025"/>
    <w:rsid w:val="007E2938"/>
    <w:rsid w:val="007E4B83"/>
    <w:rsid w:val="007F7369"/>
    <w:rsid w:val="007F7C27"/>
    <w:rsid w:val="00822348"/>
    <w:rsid w:val="00896358"/>
    <w:rsid w:val="008E6C08"/>
    <w:rsid w:val="008F0465"/>
    <w:rsid w:val="00922AC1"/>
    <w:rsid w:val="0092385A"/>
    <w:rsid w:val="00937D3F"/>
    <w:rsid w:val="0096029C"/>
    <w:rsid w:val="009675DE"/>
    <w:rsid w:val="00976ABB"/>
    <w:rsid w:val="009F7752"/>
    <w:rsid w:val="00A04CC6"/>
    <w:rsid w:val="00A06BCB"/>
    <w:rsid w:val="00A362C2"/>
    <w:rsid w:val="00A57B10"/>
    <w:rsid w:val="00AF2432"/>
    <w:rsid w:val="00B17563"/>
    <w:rsid w:val="00B50525"/>
    <w:rsid w:val="00B54499"/>
    <w:rsid w:val="00B83FF3"/>
    <w:rsid w:val="00BA7771"/>
    <w:rsid w:val="00BD7636"/>
    <w:rsid w:val="00BE269B"/>
    <w:rsid w:val="00BE590A"/>
    <w:rsid w:val="00BF6738"/>
    <w:rsid w:val="00C1738C"/>
    <w:rsid w:val="00C2325A"/>
    <w:rsid w:val="00C41EC5"/>
    <w:rsid w:val="00C47FBD"/>
    <w:rsid w:val="00C60BB9"/>
    <w:rsid w:val="00C64DFF"/>
    <w:rsid w:val="00CB12FF"/>
    <w:rsid w:val="00CB6D42"/>
    <w:rsid w:val="00CE11CE"/>
    <w:rsid w:val="00CE529E"/>
    <w:rsid w:val="00D52897"/>
    <w:rsid w:val="00D6219B"/>
    <w:rsid w:val="00D84DA6"/>
    <w:rsid w:val="00DC61E0"/>
    <w:rsid w:val="00DD4FC4"/>
    <w:rsid w:val="00DE21E2"/>
    <w:rsid w:val="00E145C8"/>
    <w:rsid w:val="00E349B9"/>
    <w:rsid w:val="00E46D83"/>
    <w:rsid w:val="00E873F0"/>
    <w:rsid w:val="00EE7D0A"/>
    <w:rsid w:val="00EF193F"/>
    <w:rsid w:val="00F140D5"/>
    <w:rsid w:val="00F21E57"/>
    <w:rsid w:val="00F506E3"/>
    <w:rsid w:val="00F512BD"/>
    <w:rsid w:val="00F75C60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A505"/>
  <w15:chartTrackingRefBased/>
  <w15:docId w15:val="{8170FADD-6CF0-42B2-9BA3-7F4D5A58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BE269B"/>
    <w:pPr>
      <w:suppressAutoHyphens/>
      <w:spacing w:after="120" w:line="480" w:lineRule="auto"/>
    </w:pPr>
    <w:rPr>
      <w:lang w:eastAsia="zh-CN"/>
    </w:rPr>
  </w:style>
  <w:style w:type="paragraph" w:customStyle="1" w:styleId="NormalnyArial">
    <w:name w:val="Normalny + Arial"/>
    <w:aliases w:val="8 pt,Z lewej:  0,04 cm,Wysunięcie:  0,44 cm,Przed:  5 pt..."/>
    <w:basedOn w:val="Normalny"/>
    <w:uiPriority w:val="99"/>
    <w:rsid w:val="00BE269B"/>
    <w:pPr>
      <w:spacing w:after="160" w:line="259" w:lineRule="auto"/>
      <w:contextualSpacing/>
    </w:pPr>
    <w:rPr>
      <w:rFonts w:ascii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4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5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5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31">
    <w:name w:val="Tekst podstawowy 31"/>
    <w:basedOn w:val="Normalny"/>
    <w:rsid w:val="00E46D83"/>
    <w:pPr>
      <w:suppressAutoHyphens/>
      <w:spacing w:before="40"/>
    </w:pPr>
    <w:rPr>
      <w:rFonts w:ascii="Arial" w:hAnsi="Arial" w:cs="Arial"/>
      <w:b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E728C"/>
    <w:pPr>
      <w:suppressAutoHyphens/>
      <w:ind w:left="720"/>
    </w:pPr>
    <w:rPr>
      <w:sz w:val="24"/>
      <w:lang w:eastAsia="ar-SA"/>
    </w:rPr>
  </w:style>
  <w:style w:type="paragraph" w:customStyle="1" w:styleId="Default">
    <w:name w:val="Default"/>
    <w:rsid w:val="00461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2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6424-95D3-44B3-9A06-92B51D13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Motyka Maja</cp:lastModifiedBy>
  <cp:revision>20</cp:revision>
  <cp:lastPrinted>2023-09-26T12:48:00Z</cp:lastPrinted>
  <dcterms:created xsi:type="dcterms:W3CDTF">2023-09-25T17:44:00Z</dcterms:created>
  <dcterms:modified xsi:type="dcterms:W3CDTF">2023-10-13T09:21:00Z</dcterms:modified>
</cp:coreProperties>
</file>