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5C1622" w:rsidRPr="005C1622">
        <w:rPr>
          <w:b/>
          <w:sz w:val="28"/>
          <w:szCs w:val="24"/>
        </w:rPr>
        <w:t xml:space="preserve">Wykonanie przeglądu centralnego Systemu Zbierania i Przetwarzania Danych Pomiarowych  Onyks FT/MIL </w:t>
      </w:r>
      <w:r w:rsidR="005C1622">
        <w:rPr>
          <w:b/>
          <w:sz w:val="28"/>
          <w:szCs w:val="24"/>
        </w:rPr>
        <w:t>zgodnie z umową licencyjną  AIT</w:t>
      </w:r>
      <w:r w:rsidR="005C1622" w:rsidRPr="005C1622">
        <w:rPr>
          <w:b/>
          <w:sz w:val="28"/>
          <w:szCs w:val="24"/>
        </w:rPr>
        <w:t>/A/024/08</w:t>
      </w:r>
      <w:r>
        <w:rPr>
          <w:b/>
          <w:sz w:val="24"/>
          <w:szCs w:val="24"/>
        </w:rPr>
        <w:t>”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</w:t>
      </w:r>
      <w:r w:rsidRPr="00ED4656">
        <w:rPr>
          <w:i/>
          <w:color w:val="auto"/>
          <w:sz w:val="18"/>
          <w:szCs w:val="22"/>
        </w:rPr>
        <w:lastRenderedPageBreak/>
        <w:t xml:space="preserve">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76" w:rsidRDefault="00103176" w:rsidP="00EC09AE">
      <w:r>
        <w:separator/>
      </w:r>
    </w:p>
  </w:endnote>
  <w:endnote w:type="continuationSeparator" w:id="0">
    <w:p w:rsidR="00103176" w:rsidRDefault="00103176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103176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103176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76" w:rsidRDefault="00103176" w:rsidP="00EC09AE">
      <w:r>
        <w:separator/>
      </w:r>
    </w:p>
  </w:footnote>
  <w:footnote w:type="continuationSeparator" w:id="0">
    <w:p w:rsidR="00103176" w:rsidRDefault="00103176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B0649">
      <w:rPr>
        <w:i/>
      </w:rPr>
      <w:t>13</w:t>
    </w:r>
    <w:r w:rsidR="005C1622">
      <w:rPr>
        <w:i/>
      </w:rPr>
      <w:t>8</w:t>
    </w:r>
    <w:r w:rsidR="002159F5">
      <w:rPr>
        <w:i/>
      </w:rPr>
      <w:t>.2024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5C1622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3176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5F5C76"/>
    <w:rsid w:val="0060689D"/>
    <w:rsid w:val="00607AE8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F01"/>
    <w:rsid w:val="00B13917"/>
    <w:rsid w:val="00B15CEC"/>
    <w:rsid w:val="00B167B9"/>
    <w:rsid w:val="00B214DA"/>
    <w:rsid w:val="00B31979"/>
    <w:rsid w:val="00B35DDC"/>
    <w:rsid w:val="00B518E9"/>
    <w:rsid w:val="00B641D1"/>
    <w:rsid w:val="00B671B0"/>
    <w:rsid w:val="00B72C34"/>
    <w:rsid w:val="00BA520D"/>
    <w:rsid w:val="00BD1F70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87439-F238-4E5B-A1BD-5B95FDEA8A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D3B3FC-2273-4975-963B-114CFBFF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1399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Wysocka Kamila</cp:lastModifiedBy>
  <cp:revision>4</cp:revision>
  <cp:lastPrinted>2024-11-21T09:01:00Z</cp:lastPrinted>
  <dcterms:created xsi:type="dcterms:W3CDTF">2024-11-21T09:00:00Z</dcterms:created>
  <dcterms:modified xsi:type="dcterms:W3CDTF">2024-11-21T09:01:00Z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