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B06AD" w:rsidRPr="009C0C7D" w:rsidTr="0042761C">
        <w:trPr>
          <w:trHeight w:val="614"/>
        </w:trPr>
        <w:tc>
          <w:tcPr>
            <w:tcW w:w="4050" w:type="dxa"/>
          </w:tcPr>
          <w:p w:rsidR="005B06AD" w:rsidRPr="009C0C7D" w:rsidRDefault="005B06AD" w:rsidP="0042761C">
            <w:pPr>
              <w:rPr>
                <w:rFonts w:cs="Verdana"/>
                <w:color w:val="auto"/>
                <w:spacing w:val="0"/>
                <w:szCs w:val="20"/>
              </w:rPr>
            </w:pPr>
          </w:p>
        </w:tc>
        <w:tc>
          <w:tcPr>
            <w:tcW w:w="4051" w:type="dxa"/>
          </w:tcPr>
          <w:p w:rsidR="005B06AD" w:rsidRPr="009C0C7D" w:rsidRDefault="005B06AD" w:rsidP="0042761C">
            <w:pPr>
              <w:jc w:val="right"/>
              <w:rPr>
                <w:rFonts w:cs="Verdana"/>
                <w:color w:val="auto"/>
                <w:spacing w:val="0"/>
                <w:szCs w:val="20"/>
              </w:rPr>
            </w:pPr>
            <w:r>
              <w:rPr>
                <w:rFonts w:cs="Verdana"/>
                <w:color w:val="auto"/>
                <w:spacing w:val="0"/>
                <w:szCs w:val="20"/>
              </w:rPr>
              <w:t>Kraków, dn. 02.03.2023  r.</w:t>
            </w:r>
          </w:p>
        </w:tc>
      </w:tr>
    </w:tbl>
    <w:p w:rsidR="005B06AD" w:rsidRDefault="005B06AD" w:rsidP="00FB7773">
      <w:pPr>
        <w:pStyle w:val="Default"/>
        <w:rPr>
          <w:rFonts w:ascii="Times New Roman" w:hAnsi="Times New Roman" w:cs="Times New Roman"/>
          <w:color w:val="auto"/>
          <w:sz w:val="22"/>
          <w:szCs w:val="22"/>
          <w:lang w:eastAsia="en-US"/>
        </w:rPr>
      </w:pPr>
    </w:p>
    <w:p w:rsidR="005B06AD" w:rsidRDefault="005B06AD" w:rsidP="00B060C1">
      <w:pPr>
        <w:pStyle w:val="Heading3"/>
      </w:pPr>
      <w:r w:rsidRPr="00292618">
        <w:rPr>
          <w:rFonts w:ascii="Verdana" w:hAnsi="Verdana"/>
          <w:sz w:val="20"/>
          <w:szCs w:val="20"/>
        </w:rPr>
        <w:t xml:space="preserve">Dotyczy: </w:t>
      </w:r>
      <w:r>
        <w:t>ZP/2/23 Dostawa sprzętu i oprogramowania informatycznego</w:t>
      </w:r>
    </w:p>
    <w:p w:rsidR="005B06AD" w:rsidRPr="002F5842" w:rsidRDefault="005B06AD" w:rsidP="00FB7773">
      <w:pPr>
        <w:pStyle w:val="Default"/>
        <w:jc w:val="both"/>
        <w:rPr>
          <w:rFonts w:ascii="Verdana" w:hAnsi="Verdana"/>
          <w:szCs w:val="22"/>
        </w:rPr>
      </w:pPr>
    </w:p>
    <w:p w:rsidR="005B06AD" w:rsidRPr="00C25B63" w:rsidRDefault="005B06AD" w:rsidP="000D4B95">
      <w:pPr>
        <w:rPr>
          <w:sz w:val="24"/>
          <w:szCs w:val="24"/>
        </w:rPr>
      </w:pPr>
      <w:r>
        <w:rPr>
          <w:sz w:val="24"/>
          <w:szCs w:val="24"/>
        </w:rPr>
        <w:t>Zamawiający informuje, że w postępowaniu wpłynęły pytania Wykonawców.</w:t>
      </w:r>
    </w:p>
    <w:p w:rsidR="005B06AD" w:rsidRPr="00DF74FC" w:rsidRDefault="005B06AD" w:rsidP="00DF74FC">
      <w:pPr>
        <w:autoSpaceDE w:val="0"/>
        <w:autoSpaceDN w:val="0"/>
        <w:adjustRightInd w:val="0"/>
        <w:spacing w:after="0" w:line="240" w:lineRule="auto"/>
        <w:ind w:left="284" w:hanging="284"/>
        <w:rPr>
          <w:rFonts w:cs="Calibri"/>
          <w:szCs w:val="20"/>
          <w:lang w:eastAsia="pl-PL"/>
        </w:rPr>
      </w:pPr>
    </w:p>
    <w:p w:rsidR="005B06AD" w:rsidRPr="00B54B81" w:rsidRDefault="005B06AD" w:rsidP="006F22C2">
      <w:pPr>
        <w:pStyle w:val="Default"/>
        <w:jc w:val="both"/>
        <w:rPr>
          <w:rFonts w:ascii="Verdana" w:hAnsi="Verdana"/>
          <w:sz w:val="18"/>
          <w:szCs w:val="18"/>
        </w:rPr>
      </w:pPr>
      <w:r w:rsidRPr="00B54B81">
        <w:rPr>
          <w:rFonts w:ascii="Verdana" w:hAnsi="Verdana"/>
          <w:sz w:val="18"/>
          <w:szCs w:val="18"/>
        </w:rPr>
        <w:t xml:space="preserve">Pytania Wykonawców oraz odpowiedzi Zamawiającego poniżej. </w:t>
      </w:r>
    </w:p>
    <w:p w:rsidR="005B06AD" w:rsidRDefault="005B06AD" w:rsidP="006F22C2">
      <w:pPr>
        <w:pStyle w:val="Default"/>
        <w:jc w:val="both"/>
        <w:rPr>
          <w:rFonts w:ascii="Verdana" w:hAnsi="Verdana"/>
          <w:sz w:val="18"/>
          <w:szCs w:val="18"/>
        </w:rPr>
      </w:pPr>
    </w:p>
    <w:p w:rsidR="005B06AD" w:rsidRPr="00B54B81" w:rsidRDefault="005B06AD" w:rsidP="006F22C2">
      <w:pPr>
        <w:pStyle w:val="Default"/>
        <w:jc w:val="both"/>
        <w:rPr>
          <w:rFonts w:ascii="Verdana" w:hAnsi="Verdana"/>
          <w:b/>
          <w:sz w:val="18"/>
          <w:szCs w:val="18"/>
        </w:rPr>
      </w:pPr>
      <w:r w:rsidRPr="00B54B81">
        <w:rPr>
          <w:rFonts w:ascii="Verdana" w:hAnsi="Verdana"/>
          <w:b/>
          <w:sz w:val="18"/>
          <w:szCs w:val="18"/>
        </w:rPr>
        <w:t>ZESTAW 1 – dotyczy Części NR 1</w:t>
      </w:r>
    </w:p>
    <w:p w:rsidR="005B06AD" w:rsidRPr="00B54B81" w:rsidRDefault="005B06AD" w:rsidP="006F22C2">
      <w:pPr>
        <w:pStyle w:val="Default"/>
        <w:jc w:val="both"/>
        <w:rPr>
          <w:rFonts w:ascii="Verdana" w:hAnsi="Verdana"/>
          <w:b/>
          <w:sz w:val="18"/>
          <w:szCs w:val="18"/>
        </w:rPr>
      </w:pPr>
    </w:p>
    <w:p w:rsidR="005B06AD" w:rsidRDefault="005B06AD" w:rsidP="006F22C2">
      <w:pPr>
        <w:pStyle w:val="Default"/>
        <w:jc w:val="both"/>
        <w:rPr>
          <w:rFonts w:ascii="Verdana" w:hAnsi="Verdana"/>
          <w:sz w:val="18"/>
          <w:szCs w:val="18"/>
        </w:rPr>
      </w:pPr>
      <w:r>
        <w:rPr>
          <w:rFonts w:ascii="Verdana" w:hAnsi="Verdana"/>
          <w:sz w:val="18"/>
          <w:szCs w:val="18"/>
        </w:rPr>
        <w:t>PYTANIE 1.</w:t>
      </w:r>
    </w:p>
    <w:p w:rsidR="005B06AD" w:rsidRPr="00B54B81" w:rsidRDefault="005B06AD" w:rsidP="006F22C2">
      <w:pPr>
        <w:pStyle w:val="Default"/>
        <w:jc w:val="both"/>
        <w:rPr>
          <w:rFonts w:ascii="Verdana" w:hAnsi="Verdana"/>
          <w:sz w:val="18"/>
          <w:szCs w:val="18"/>
        </w:rPr>
      </w:pPr>
    </w:p>
    <w:p w:rsidR="005B06AD" w:rsidRPr="00B54B81" w:rsidRDefault="005B06AD" w:rsidP="00B54B81">
      <w:pPr>
        <w:rPr>
          <w:sz w:val="18"/>
          <w:szCs w:val="18"/>
        </w:rPr>
      </w:pPr>
      <w:r w:rsidRPr="00B54B81">
        <w:rPr>
          <w:sz w:val="18"/>
          <w:szCs w:val="18"/>
        </w:rPr>
        <w:t>Mobilna stacja robocza –1 szt.</w:t>
      </w:r>
    </w:p>
    <w:p w:rsidR="005B06AD" w:rsidRPr="00B54B81" w:rsidRDefault="005B06AD" w:rsidP="00B54B81">
      <w:pPr>
        <w:rPr>
          <w:sz w:val="18"/>
          <w:szCs w:val="18"/>
        </w:rPr>
      </w:pPr>
      <w:r w:rsidRPr="00B54B81">
        <w:rPr>
          <w:sz w:val="18"/>
          <w:szCs w:val="18"/>
        </w:rPr>
        <w:t>Czy zamawiający wyraz zgodę na zaproponowanie komputera z portami</w:t>
      </w:r>
    </w:p>
    <w:p w:rsidR="005B06AD" w:rsidRPr="00B54B81" w:rsidRDefault="005B06AD" w:rsidP="00B54B81">
      <w:pPr>
        <w:rPr>
          <w:sz w:val="18"/>
          <w:szCs w:val="18"/>
        </w:rPr>
      </w:pPr>
      <w:r w:rsidRPr="00B54B81">
        <w:rPr>
          <w:sz w:val="18"/>
          <w:szCs w:val="18"/>
        </w:rPr>
        <w:t>1 port Ethernet RJ-45 (zasłaniany)</w:t>
      </w:r>
    </w:p>
    <w:p w:rsidR="005B06AD" w:rsidRPr="00B54B81" w:rsidRDefault="005B06AD" w:rsidP="00B54B81">
      <w:pPr>
        <w:rPr>
          <w:sz w:val="18"/>
          <w:szCs w:val="18"/>
        </w:rPr>
      </w:pPr>
      <w:r w:rsidRPr="00B54B81">
        <w:rPr>
          <w:sz w:val="18"/>
          <w:szCs w:val="18"/>
        </w:rPr>
        <w:t>1 port USB 3.2 Type-A pierwszej generacji</w:t>
      </w:r>
    </w:p>
    <w:p w:rsidR="005B06AD" w:rsidRPr="00B54B81" w:rsidRDefault="005B06AD" w:rsidP="00B54B81">
      <w:pPr>
        <w:rPr>
          <w:sz w:val="18"/>
          <w:szCs w:val="18"/>
        </w:rPr>
      </w:pPr>
      <w:r w:rsidRPr="00B54B81">
        <w:rPr>
          <w:sz w:val="18"/>
          <w:szCs w:val="18"/>
        </w:rPr>
        <w:t>1 port USB 3.2 Type-A pierwszej generacji z funkcją PowerShare</w:t>
      </w:r>
    </w:p>
    <w:p w:rsidR="005B06AD" w:rsidRPr="00B54B81" w:rsidRDefault="005B06AD" w:rsidP="00B54B81">
      <w:pPr>
        <w:rPr>
          <w:sz w:val="18"/>
          <w:szCs w:val="18"/>
          <w:lang w:val="en-US"/>
        </w:rPr>
      </w:pPr>
      <w:r w:rsidRPr="00B54B81">
        <w:rPr>
          <w:sz w:val="18"/>
          <w:szCs w:val="18"/>
          <w:lang w:val="en-US"/>
        </w:rPr>
        <w:t>2 porty Thunderbolt™ 4 z trybem alternatywnym DisplayPort / USB 4 / Power Delivery</w:t>
      </w:r>
    </w:p>
    <w:p w:rsidR="005B06AD" w:rsidRPr="00B54B81" w:rsidRDefault="005B06AD" w:rsidP="00B54B81">
      <w:pPr>
        <w:rPr>
          <w:sz w:val="18"/>
          <w:szCs w:val="18"/>
        </w:rPr>
      </w:pPr>
      <w:r w:rsidRPr="00B54B81">
        <w:rPr>
          <w:sz w:val="18"/>
          <w:szCs w:val="18"/>
        </w:rPr>
        <w:t>1 port HDMI 2.0</w:t>
      </w:r>
    </w:p>
    <w:p w:rsidR="005B06AD" w:rsidRPr="00B54B81" w:rsidRDefault="005B06AD" w:rsidP="00B54B81">
      <w:pPr>
        <w:rPr>
          <w:sz w:val="18"/>
          <w:szCs w:val="18"/>
        </w:rPr>
      </w:pPr>
      <w:r w:rsidRPr="00B54B81">
        <w:rPr>
          <w:sz w:val="18"/>
          <w:szCs w:val="18"/>
        </w:rPr>
        <w:t>1 gniazdo zestawu słuchawkowego (wspólne gniazdo słuchawek i mikrofonu)</w:t>
      </w:r>
    </w:p>
    <w:p w:rsidR="005B06AD" w:rsidRPr="00B54B81" w:rsidRDefault="005B06AD" w:rsidP="00B54B81">
      <w:pPr>
        <w:rPr>
          <w:sz w:val="18"/>
          <w:szCs w:val="18"/>
        </w:rPr>
      </w:pPr>
      <w:r w:rsidRPr="00B54B81">
        <w:rPr>
          <w:sz w:val="18"/>
          <w:szCs w:val="18"/>
        </w:rPr>
        <w:t>przy zostawieniu reszty zapisów bez zmian ?</w:t>
      </w:r>
    </w:p>
    <w:p w:rsidR="005B06AD" w:rsidRPr="00B54B81" w:rsidRDefault="005B06AD" w:rsidP="00B54B81">
      <w:pPr>
        <w:rPr>
          <w:sz w:val="18"/>
          <w:szCs w:val="18"/>
        </w:rPr>
      </w:pPr>
      <w:r w:rsidRPr="00B54B81">
        <w:rPr>
          <w:sz w:val="18"/>
          <w:szCs w:val="18"/>
        </w:rPr>
        <w:t>Odp.</w:t>
      </w:r>
    </w:p>
    <w:p w:rsidR="005B06AD" w:rsidRPr="00B54B81" w:rsidRDefault="005B06AD" w:rsidP="00B54B81">
      <w:pPr>
        <w:rPr>
          <w:sz w:val="18"/>
          <w:szCs w:val="18"/>
        </w:rPr>
      </w:pPr>
      <w:r w:rsidRPr="00B54B81">
        <w:rPr>
          <w:sz w:val="18"/>
          <w:szCs w:val="18"/>
        </w:rPr>
        <w:t>Zamawiający nie wyraża zgody na zaproponowane zmiany liczby i typu portów. Doprecyzowuje jednak, że pisząc „Wyjście słuchawkowe/wejście mikrofonowe” miał na myśli złącze słuchawkowe pełniące podwójną rolę wejścia zestawu słuchawkowego, tzn. wspólnego gniazda wyjścia słuchawkowego oraz wejścia mikrofonowego. Dopuszcza również aby porty USB wyposażone były w funkcje PowerShare i/lub Power Delivery.</w:t>
      </w:r>
    </w:p>
    <w:p w:rsidR="005B06AD" w:rsidRPr="00B54B81" w:rsidRDefault="005B06AD" w:rsidP="00B54B81">
      <w:pPr>
        <w:rPr>
          <w:sz w:val="18"/>
          <w:szCs w:val="18"/>
        </w:rPr>
      </w:pPr>
      <w:r>
        <w:rPr>
          <w:sz w:val="18"/>
          <w:szCs w:val="18"/>
        </w:rPr>
        <w:t>PYTANIE 2.</w:t>
      </w:r>
    </w:p>
    <w:p w:rsidR="005B06AD" w:rsidRPr="00B54B81" w:rsidRDefault="005B06AD" w:rsidP="00B54B81">
      <w:pPr>
        <w:rPr>
          <w:sz w:val="18"/>
          <w:szCs w:val="18"/>
        </w:rPr>
      </w:pPr>
      <w:r w:rsidRPr="00B54B81">
        <w:rPr>
          <w:sz w:val="18"/>
          <w:szCs w:val="18"/>
        </w:rPr>
        <w:t xml:space="preserve">Monitor 16szt. </w:t>
      </w:r>
    </w:p>
    <w:p w:rsidR="005B06AD" w:rsidRPr="00B54B81" w:rsidRDefault="005B06AD" w:rsidP="00B54B81">
      <w:pPr>
        <w:rPr>
          <w:sz w:val="18"/>
          <w:szCs w:val="18"/>
        </w:rPr>
      </w:pPr>
      <w:r w:rsidRPr="00B54B81">
        <w:rPr>
          <w:sz w:val="18"/>
          <w:szCs w:val="18"/>
        </w:rPr>
        <w:t>Ad. Regulacja geometrii obrazu:</w:t>
      </w:r>
    </w:p>
    <w:p w:rsidR="005B06AD" w:rsidRPr="00B54B81" w:rsidRDefault="005B06AD" w:rsidP="00B54B81">
      <w:pPr>
        <w:rPr>
          <w:sz w:val="18"/>
          <w:szCs w:val="18"/>
        </w:rPr>
      </w:pPr>
      <w:r w:rsidRPr="00B54B81">
        <w:rPr>
          <w:sz w:val="18"/>
          <w:szCs w:val="18"/>
        </w:rPr>
        <w:t xml:space="preserve">Czy zamawiający dopuści monitor bez tych ustawień ? </w:t>
      </w:r>
    </w:p>
    <w:p w:rsidR="005B06AD" w:rsidRPr="00B54B81" w:rsidRDefault="005B06AD" w:rsidP="00B54B81">
      <w:pPr>
        <w:rPr>
          <w:sz w:val="18"/>
          <w:szCs w:val="18"/>
        </w:rPr>
      </w:pPr>
      <w:r w:rsidRPr="00B54B81">
        <w:rPr>
          <w:sz w:val="18"/>
          <w:szCs w:val="18"/>
        </w:rPr>
        <w:t>Opisane w specyfikacji wymagania regulacji co najmniej „rozciągnięcie obrazu (poziom i pion), przesunięcie obrazu (poziom i pion), clock, faza” wskazują na monitor, który posiada złącze analogowe D-SUB.</w:t>
      </w:r>
    </w:p>
    <w:p w:rsidR="005B06AD" w:rsidRPr="00B54B81" w:rsidRDefault="005B06AD" w:rsidP="00B54B81">
      <w:pPr>
        <w:rPr>
          <w:sz w:val="18"/>
          <w:szCs w:val="18"/>
        </w:rPr>
      </w:pPr>
      <w:r w:rsidRPr="00B54B81">
        <w:rPr>
          <w:sz w:val="18"/>
          <w:szCs w:val="18"/>
        </w:rPr>
        <w:t>W związku z tym, że Zamawiający opisując monitor nie wymaga złącza analogowego D-SUB, które charakteryzuje się powyższymi możliwościami prosimy o zrezygnowanie z tych regulacji?</w:t>
      </w:r>
    </w:p>
    <w:p w:rsidR="005B06AD" w:rsidRPr="00B54B81" w:rsidRDefault="005B06AD" w:rsidP="00B54B81">
      <w:pPr>
        <w:rPr>
          <w:sz w:val="18"/>
          <w:szCs w:val="18"/>
        </w:rPr>
      </w:pPr>
      <w:r w:rsidRPr="00B54B81">
        <w:rPr>
          <w:sz w:val="18"/>
          <w:szCs w:val="18"/>
        </w:rPr>
        <w:t>Odp.</w:t>
      </w:r>
    </w:p>
    <w:p w:rsidR="005B06AD" w:rsidRPr="00B54B81" w:rsidRDefault="005B06AD" w:rsidP="00B54B81">
      <w:pPr>
        <w:rPr>
          <w:sz w:val="18"/>
          <w:szCs w:val="18"/>
        </w:rPr>
      </w:pPr>
      <w:r w:rsidRPr="00B54B81">
        <w:rPr>
          <w:sz w:val="18"/>
          <w:szCs w:val="18"/>
        </w:rPr>
        <w:t>Zamawiający dopuszcza zaoferowanie monitora bez możliwości ustawień geometrii obrazu.</w:t>
      </w:r>
    </w:p>
    <w:p w:rsidR="005B06AD" w:rsidRPr="00B54B81" w:rsidRDefault="005B06AD" w:rsidP="00B54B81">
      <w:pPr>
        <w:rPr>
          <w:sz w:val="18"/>
          <w:szCs w:val="18"/>
        </w:rPr>
      </w:pPr>
      <w:r>
        <w:rPr>
          <w:sz w:val="18"/>
          <w:szCs w:val="18"/>
        </w:rPr>
        <w:t>PYTANIE 3</w:t>
      </w:r>
    </w:p>
    <w:p w:rsidR="005B06AD" w:rsidRPr="00B54B81" w:rsidRDefault="005B06AD" w:rsidP="00B54B81">
      <w:pPr>
        <w:rPr>
          <w:sz w:val="18"/>
          <w:szCs w:val="18"/>
        </w:rPr>
      </w:pPr>
      <w:r w:rsidRPr="00B54B81">
        <w:rPr>
          <w:sz w:val="18"/>
          <w:szCs w:val="18"/>
        </w:rPr>
        <w:t>Ad. Regulacje obrazu:</w:t>
      </w:r>
    </w:p>
    <w:p w:rsidR="005B06AD" w:rsidRPr="00B54B81" w:rsidRDefault="005B06AD" w:rsidP="00B54B81">
      <w:pPr>
        <w:rPr>
          <w:sz w:val="18"/>
          <w:szCs w:val="18"/>
        </w:rPr>
      </w:pPr>
      <w:r w:rsidRPr="00B54B81">
        <w:rPr>
          <w:sz w:val="18"/>
          <w:szCs w:val="18"/>
        </w:rPr>
        <w:t>Czy zamawiający dopuści monitor bez regulacji poziomu czerni ?</w:t>
      </w:r>
    </w:p>
    <w:p w:rsidR="005B06AD" w:rsidRPr="00B54B81" w:rsidRDefault="005B06AD" w:rsidP="00B54B81">
      <w:pPr>
        <w:rPr>
          <w:sz w:val="18"/>
          <w:szCs w:val="18"/>
        </w:rPr>
      </w:pPr>
      <w:r w:rsidRPr="00B54B81">
        <w:rPr>
          <w:sz w:val="18"/>
          <w:szCs w:val="18"/>
        </w:rPr>
        <w:t xml:space="preserve">Regulacja poziomu czerni wpływa negatywnie na kontrast monitora ( obniża go ) i nie jest przydatnym ustawieniem w przypadku monitorów biurowych, gdzie dążymy do ustawienia minimalnej jasności dla punktu czerni. </w:t>
      </w:r>
    </w:p>
    <w:p w:rsidR="005B06AD" w:rsidRPr="00B54B81" w:rsidRDefault="005B06AD" w:rsidP="00B54B81">
      <w:pPr>
        <w:rPr>
          <w:sz w:val="18"/>
          <w:szCs w:val="18"/>
        </w:rPr>
      </w:pPr>
      <w:r w:rsidRPr="00B54B81">
        <w:rPr>
          <w:sz w:val="18"/>
          <w:szCs w:val="18"/>
        </w:rPr>
        <w:t>Odp.</w:t>
      </w:r>
    </w:p>
    <w:p w:rsidR="005B06AD" w:rsidRPr="00B54B81" w:rsidRDefault="005B06AD" w:rsidP="00B54B81">
      <w:pPr>
        <w:rPr>
          <w:sz w:val="18"/>
          <w:szCs w:val="18"/>
        </w:rPr>
      </w:pPr>
      <w:r w:rsidRPr="00B54B81">
        <w:rPr>
          <w:sz w:val="18"/>
          <w:szCs w:val="18"/>
        </w:rPr>
        <w:t>Zamawiający dopuszcza zaoferowanie monitora bez regulacji poziomu czerni.</w:t>
      </w:r>
    </w:p>
    <w:p w:rsidR="005B06AD" w:rsidRPr="00B54B81" w:rsidRDefault="005B06AD" w:rsidP="00B54B81">
      <w:pPr>
        <w:rPr>
          <w:sz w:val="18"/>
          <w:szCs w:val="18"/>
        </w:rPr>
      </w:pPr>
      <w:r>
        <w:rPr>
          <w:sz w:val="18"/>
          <w:szCs w:val="18"/>
        </w:rPr>
        <w:t>PYTANIE 4</w:t>
      </w:r>
    </w:p>
    <w:p w:rsidR="005B06AD" w:rsidRPr="00B54B81" w:rsidRDefault="005B06AD" w:rsidP="00B54B81">
      <w:pPr>
        <w:rPr>
          <w:sz w:val="18"/>
          <w:szCs w:val="18"/>
        </w:rPr>
      </w:pPr>
      <w:r w:rsidRPr="00B54B81">
        <w:rPr>
          <w:sz w:val="18"/>
          <w:szCs w:val="18"/>
        </w:rPr>
        <w:t>Ad. Gwarancja i serwis (fabryczna)</w:t>
      </w:r>
    </w:p>
    <w:p w:rsidR="005B06AD" w:rsidRPr="00B54B81" w:rsidRDefault="005B06AD" w:rsidP="00B54B81">
      <w:pPr>
        <w:rPr>
          <w:sz w:val="18"/>
          <w:szCs w:val="18"/>
        </w:rPr>
      </w:pPr>
      <w:r w:rsidRPr="00B54B81">
        <w:rPr>
          <w:sz w:val="18"/>
          <w:szCs w:val="18"/>
        </w:rPr>
        <w:t>Czy zamawiający wyrazi zgodę na monitor z gwarancją 60 miesięcy oraz 6 miesięcy gwarancji na zero martwych pikseli.</w:t>
      </w:r>
    </w:p>
    <w:p w:rsidR="005B06AD" w:rsidRPr="00B54B81" w:rsidRDefault="005B06AD" w:rsidP="00B54B81">
      <w:pPr>
        <w:rPr>
          <w:sz w:val="18"/>
          <w:szCs w:val="18"/>
        </w:rPr>
      </w:pPr>
      <w:r w:rsidRPr="00B54B81">
        <w:rPr>
          <w:sz w:val="18"/>
          <w:szCs w:val="18"/>
        </w:rPr>
        <w:t>Odp.</w:t>
      </w:r>
    </w:p>
    <w:p w:rsidR="005B06AD" w:rsidRDefault="005B06AD" w:rsidP="00B54B81">
      <w:pPr>
        <w:rPr>
          <w:sz w:val="18"/>
          <w:szCs w:val="18"/>
        </w:rPr>
      </w:pPr>
      <w:r w:rsidRPr="00B54B81">
        <w:rPr>
          <w:sz w:val="18"/>
          <w:szCs w:val="18"/>
        </w:rPr>
        <w:t>Zamawiający wyraża zgody na zaoferowanie monitora z gwarancją 60 miesięcy na wszystkie komponenty monitora oraz 6 miesięczną gwarancję na zero martwych pikseli.</w:t>
      </w:r>
    </w:p>
    <w:p w:rsidR="005B06AD" w:rsidRPr="00B54B81" w:rsidRDefault="005B06AD" w:rsidP="00B54B81">
      <w:pPr>
        <w:rPr>
          <w:b/>
          <w:sz w:val="18"/>
          <w:szCs w:val="18"/>
        </w:rPr>
      </w:pPr>
      <w:r w:rsidRPr="00B54B81">
        <w:rPr>
          <w:b/>
          <w:sz w:val="18"/>
          <w:szCs w:val="18"/>
        </w:rPr>
        <w:t>ZESTAW 2</w:t>
      </w:r>
    </w:p>
    <w:p w:rsidR="005B06AD" w:rsidRDefault="005B06AD" w:rsidP="00B54B81">
      <w:pPr>
        <w:rPr>
          <w:sz w:val="18"/>
          <w:szCs w:val="18"/>
        </w:rPr>
      </w:pPr>
      <w:r>
        <w:rPr>
          <w:sz w:val="18"/>
          <w:szCs w:val="18"/>
        </w:rPr>
        <w:t>PYTANIE 1</w:t>
      </w:r>
    </w:p>
    <w:p w:rsidR="005B06AD" w:rsidRDefault="005B06AD" w:rsidP="00B54B81">
      <w:r>
        <w:t>Czy Zamawiający dopuści do postępowania, w zakresie zadań 3,4,5, laptopy wyposażone w wersję Bluetooth 5.1 przy jednoczesnym spełnieniu wszystkich pozostałych wymagań?</w:t>
      </w:r>
    </w:p>
    <w:p w:rsidR="005B06AD" w:rsidRDefault="005B06AD" w:rsidP="00B54B81">
      <w:r>
        <w:t>Odp.</w:t>
      </w:r>
    </w:p>
    <w:p w:rsidR="005B06AD" w:rsidRDefault="005B06AD" w:rsidP="00B54B81">
      <w:r>
        <w:t>Nie</w:t>
      </w:r>
    </w:p>
    <w:p w:rsidR="005B06AD" w:rsidRDefault="005B06AD" w:rsidP="00B54B81">
      <w:pPr>
        <w:rPr>
          <w:b/>
        </w:rPr>
      </w:pPr>
      <w:r w:rsidRPr="006C3A77">
        <w:rPr>
          <w:b/>
        </w:rPr>
        <w:t>ZESTAW 3</w:t>
      </w:r>
    </w:p>
    <w:p w:rsidR="005B06AD" w:rsidRDefault="005B06AD" w:rsidP="00B54B81">
      <w:r w:rsidRPr="006C3A77">
        <w:t>PYTANIE 1</w:t>
      </w:r>
    </w:p>
    <w:p w:rsidR="005B06AD" w:rsidRDefault="005B06AD" w:rsidP="006C3A77">
      <w:pPr>
        <w:rPr>
          <w:sz w:val="18"/>
          <w:szCs w:val="18"/>
        </w:rPr>
      </w:pPr>
      <w:r w:rsidRPr="006C3A77">
        <w:rPr>
          <w:sz w:val="18"/>
          <w:szCs w:val="18"/>
        </w:rPr>
        <w:t>Zamawiający wymaga aby oferowane laptopy, w zakresie zadania 3,4,5, posiadały matrycę w technologii WVA. Matryce opisane jako WVA występują jedynie w urządzeniach jednego producenta. Dodatkowo matryce opisane jako WVA korzystają ze standardowych matryc IPS dlatego ciężko wskazać konkretne potrzeby Zamawiającego, które mogłyby zostać spełnione tylko poprzez laptopy z matryca WVA.Wnosimy o dopuszczenie do postępowania, w zakresie zadań 3,4,5, laptopów wyposażonych w matryce IPS. Brak zmiany tego parametru spowoduje ograniczenie zasady uczciwej konkurencji w wyniku opisania przedmiotu zamówienia w sposób na tyle rygorystyczny (i nieuzasadniony potrzebami Zamawiającego), że ogranicza to krąg producentów tylko do jednego producenta, co skutkować może wniesieniem odwołania do KIO, przez co Zamawiający zostanie narażony na poniesienie dodatkowych kosztów, a samo postępowania ulegnie przedłużeniu.</w:t>
      </w:r>
    </w:p>
    <w:p w:rsidR="005B06AD" w:rsidRDefault="005B06AD" w:rsidP="006C3A77">
      <w:pPr>
        <w:rPr>
          <w:sz w:val="18"/>
          <w:szCs w:val="18"/>
        </w:rPr>
      </w:pPr>
      <w:r>
        <w:rPr>
          <w:sz w:val="18"/>
          <w:szCs w:val="18"/>
        </w:rPr>
        <w:t>Odp.</w:t>
      </w:r>
    </w:p>
    <w:p w:rsidR="005B06AD" w:rsidRDefault="005B06AD" w:rsidP="006C3A77">
      <w:r>
        <w:rPr>
          <w:sz w:val="18"/>
          <w:szCs w:val="18"/>
        </w:rPr>
        <w:t xml:space="preserve">Zamawiający dopuszcza </w:t>
      </w:r>
      <w:r>
        <w:t>laptopy z matrycami IPS.</w:t>
      </w:r>
    </w:p>
    <w:p w:rsidR="005B06AD" w:rsidRPr="001D7D80" w:rsidRDefault="005B06AD" w:rsidP="009E01B1">
      <w:pPr>
        <w:spacing w:after="0"/>
      </w:pPr>
      <w:r>
        <w:t>Jednocześnie Zamawiający informuje, że zapis w Części 1 dla pozycji Stacja robocza 8 sztuk Zasilacz „</w:t>
      </w:r>
      <w:r w:rsidRPr="001D7D80">
        <w:t>Certyfikat nie gorzej niż 80 PLUS Gold</w:t>
      </w:r>
      <w:r>
        <w:t xml:space="preserve">” należy rozumieć jako „Certyfikat </w:t>
      </w:r>
      <w:r w:rsidRPr="001D7D80">
        <w:t>80 PLUS Gold</w:t>
      </w:r>
      <w:r>
        <w:t xml:space="preserve"> lub min. równoważny”</w:t>
      </w:r>
    </w:p>
    <w:p w:rsidR="005B06AD" w:rsidRPr="006C3A77" w:rsidRDefault="005B06AD" w:rsidP="006C3A77">
      <w:pPr>
        <w:rPr>
          <w:sz w:val="18"/>
          <w:szCs w:val="18"/>
        </w:rPr>
      </w:pPr>
    </w:p>
    <w:sectPr w:rsidR="005B06AD" w:rsidRPr="006C3A77"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AD" w:rsidRDefault="005B06AD" w:rsidP="006747BD">
      <w:pPr>
        <w:spacing w:after="0" w:line="240" w:lineRule="auto"/>
      </w:pPr>
      <w:r>
        <w:separator/>
      </w:r>
    </w:p>
  </w:endnote>
  <w:endnote w:type="continuationSeparator" w:id="0">
    <w:p w:rsidR="005B06AD" w:rsidRDefault="005B06A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AD" w:rsidRPr="00116150" w:rsidRDefault="005B06A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5B06AD" w:rsidRDefault="005B06A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5B06AD" w:rsidRPr="004228BE" w:rsidRDefault="005B06AD" w:rsidP="004228BE">
                <w:pPr>
                  <w:pStyle w:val="LukStopka-adres"/>
                </w:pPr>
                <w:r w:rsidRPr="004228BE">
                  <w:t xml:space="preserve">Sieć Badawcza Łukasiewicz </w:t>
                </w:r>
                <w:r w:rsidRPr="004228BE">
                  <w:sym w:font="Symbol" w:char="F02D"/>
                </w:r>
                <w:r w:rsidRPr="004228BE">
                  <w:t xml:space="preserve"> Krakowski Instytut Technologiczny</w:t>
                </w:r>
              </w:p>
              <w:p w:rsidR="005B06AD" w:rsidRPr="004228BE" w:rsidRDefault="005B06AD" w:rsidP="004228BE">
                <w:pPr>
                  <w:pStyle w:val="LukStopka-adres"/>
                </w:pPr>
                <w:r w:rsidRPr="004228BE">
                  <w:t>30-418 Kraków, ul. Zakopiańska 73, Tel.: +48 12 26 18 324,</w:t>
                </w:r>
              </w:p>
              <w:p w:rsidR="005B06AD" w:rsidRPr="004228BE" w:rsidRDefault="005B06AD"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5B06AD" w:rsidRPr="004228BE" w:rsidRDefault="005B06AD" w:rsidP="004228BE">
                <w:pPr>
                  <w:pStyle w:val="LukStopka-adres"/>
                </w:pPr>
                <w:r w:rsidRPr="004228BE">
                  <w:t>Sąd Rejonowy w Krakowie, XI Wydz. Gospodarczy KRS nr 0000861401</w:t>
                </w:r>
              </w:p>
              <w:p w:rsidR="005B06AD" w:rsidRDefault="005B06AD" w:rsidP="00DA52A1">
                <w:pPr>
                  <w:pStyle w:val="LukStopka-adres"/>
                </w:pPr>
              </w:p>
              <w:p w:rsidR="005B06AD" w:rsidRPr="004F5805" w:rsidRDefault="005B06A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5B06AD" w:rsidRPr="00DA52A1" w:rsidRDefault="005B06AD"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AD" w:rsidRPr="00116150" w:rsidRDefault="005B06A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5B06AD" w:rsidRPr="00D06D36" w:rsidRDefault="005B06A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B06AD" w:rsidRPr="00DA52A1" w:rsidRDefault="005B06A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B06AD" w:rsidRDefault="005B06AD" w:rsidP="00302E45">
                <w:pPr>
                  <w:pStyle w:val="LukStopka-adres"/>
                  <w:jc w:val="both"/>
                </w:pPr>
                <w:r>
                  <w:t xml:space="preserve">Sieć Badawcza Łukasiewicz </w:t>
                </w:r>
                <w:r>
                  <w:sym w:font="Symbol" w:char="F02D"/>
                </w:r>
                <w:r>
                  <w:t xml:space="preserve"> Krakowski Instytut Technologiczny</w:t>
                </w:r>
              </w:p>
              <w:p w:rsidR="005B06AD" w:rsidRDefault="005B06A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B06AD" w:rsidRPr="006F6504" w:rsidRDefault="005B06AD"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5B06AD" w:rsidRDefault="005B06AD" w:rsidP="00302E45">
                <w:pPr>
                  <w:pStyle w:val="LukStopka-adres"/>
                  <w:jc w:val="both"/>
                </w:pPr>
                <w:r>
                  <w:t xml:space="preserve">Sąd Rejonowy w Krakowie, XI Wydz. Gospodarczy KRS nr </w:t>
                </w:r>
                <w:r w:rsidRPr="0056264F">
                  <w:t>0000861401</w:t>
                </w:r>
              </w:p>
              <w:p w:rsidR="005B06AD" w:rsidRPr="004F5805" w:rsidRDefault="005B06A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AD" w:rsidRDefault="005B06AD" w:rsidP="006747BD">
      <w:pPr>
        <w:spacing w:after="0" w:line="240" w:lineRule="auto"/>
      </w:pPr>
      <w:r>
        <w:separator/>
      </w:r>
    </w:p>
  </w:footnote>
  <w:footnote w:type="continuationSeparator" w:id="0">
    <w:p w:rsidR="005B06AD" w:rsidRDefault="005B06A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AD" w:rsidRPr="00DA52A1" w:rsidRDefault="005B06A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3157"/>
    <w:rsid w:val="00054E08"/>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472B"/>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9794A"/>
    <w:rsid w:val="001B1841"/>
    <w:rsid w:val="001B3817"/>
    <w:rsid w:val="001B5D54"/>
    <w:rsid w:val="001C112C"/>
    <w:rsid w:val="001C18B0"/>
    <w:rsid w:val="001C4E01"/>
    <w:rsid w:val="001C793B"/>
    <w:rsid w:val="001D51B4"/>
    <w:rsid w:val="001D73D8"/>
    <w:rsid w:val="001D7D80"/>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0A89"/>
    <w:rsid w:val="002D290E"/>
    <w:rsid w:val="002D2CB2"/>
    <w:rsid w:val="002D36D4"/>
    <w:rsid w:val="002D48BE"/>
    <w:rsid w:val="002F03E3"/>
    <w:rsid w:val="002F3EFE"/>
    <w:rsid w:val="002F4540"/>
    <w:rsid w:val="002F5842"/>
    <w:rsid w:val="00300F08"/>
    <w:rsid w:val="00302E45"/>
    <w:rsid w:val="0030730B"/>
    <w:rsid w:val="00331259"/>
    <w:rsid w:val="00332DFA"/>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405BBD"/>
    <w:rsid w:val="004066FB"/>
    <w:rsid w:val="004228BE"/>
    <w:rsid w:val="0042761C"/>
    <w:rsid w:val="00447AA3"/>
    <w:rsid w:val="00485F80"/>
    <w:rsid w:val="00491FB8"/>
    <w:rsid w:val="004F2E56"/>
    <w:rsid w:val="004F5805"/>
    <w:rsid w:val="00500D4E"/>
    <w:rsid w:val="0050770A"/>
    <w:rsid w:val="00526CDD"/>
    <w:rsid w:val="00533E1B"/>
    <w:rsid w:val="00554674"/>
    <w:rsid w:val="00561272"/>
    <w:rsid w:val="0056264F"/>
    <w:rsid w:val="0056545A"/>
    <w:rsid w:val="005748AE"/>
    <w:rsid w:val="00581293"/>
    <w:rsid w:val="005B06AD"/>
    <w:rsid w:val="005C16E4"/>
    <w:rsid w:val="005C51FF"/>
    <w:rsid w:val="005D1495"/>
    <w:rsid w:val="005E4DC7"/>
    <w:rsid w:val="005E7191"/>
    <w:rsid w:val="005F2A5E"/>
    <w:rsid w:val="0060638F"/>
    <w:rsid w:val="00615655"/>
    <w:rsid w:val="00615756"/>
    <w:rsid w:val="0061678C"/>
    <w:rsid w:val="0062583F"/>
    <w:rsid w:val="006345AA"/>
    <w:rsid w:val="00647D17"/>
    <w:rsid w:val="006506D5"/>
    <w:rsid w:val="006565F7"/>
    <w:rsid w:val="006747BD"/>
    <w:rsid w:val="00675DBF"/>
    <w:rsid w:val="00681FC7"/>
    <w:rsid w:val="00694332"/>
    <w:rsid w:val="006A3813"/>
    <w:rsid w:val="006B28B0"/>
    <w:rsid w:val="006C3A77"/>
    <w:rsid w:val="006C4B03"/>
    <w:rsid w:val="006D6DE5"/>
    <w:rsid w:val="006E0D96"/>
    <w:rsid w:val="006E5990"/>
    <w:rsid w:val="006F22C2"/>
    <w:rsid w:val="006F6504"/>
    <w:rsid w:val="007002B0"/>
    <w:rsid w:val="00723C0C"/>
    <w:rsid w:val="00727272"/>
    <w:rsid w:val="00743EAB"/>
    <w:rsid w:val="007471C8"/>
    <w:rsid w:val="00771CA8"/>
    <w:rsid w:val="00781FB9"/>
    <w:rsid w:val="00783AA3"/>
    <w:rsid w:val="00790000"/>
    <w:rsid w:val="007A0BDB"/>
    <w:rsid w:val="007A66E2"/>
    <w:rsid w:val="007A7095"/>
    <w:rsid w:val="007B7BFC"/>
    <w:rsid w:val="007D6CE3"/>
    <w:rsid w:val="007E6C72"/>
    <w:rsid w:val="00805143"/>
    <w:rsid w:val="00805DF6"/>
    <w:rsid w:val="00810FA3"/>
    <w:rsid w:val="0081697B"/>
    <w:rsid w:val="0082136E"/>
    <w:rsid w:val="00821F16"/>
    <w:rsid w:val="00823164"/>
    <w:rsid w:val="00824EAB"/>
    <w:rsid w:val="00826D3F"/>
    <w:rsid w:val="00827E99"/>
    <w:rsid w:val="008368C0"/>
    <w:rsid w:val="0084066F"/>
    <w:rsid w:val="0084396A"/>
    <w:rsid w:val="00850AF4"/>
    <w:rsid w:val="00854B7B"/>
    <w:rsid w:val="0086764B"/>
    <w:rsid w:val="00877210"/>
    <w:rsid w:val="008861AF"/>
    <w:rsid w:val="00893FBA"/>
    <w:rsid w:val="008B2987"/>
    <w:rsid w:val="008B6296"/>
    <w:rsid w:val="008B6EA0"/>
    <w:rsid w:val="008C1729"/>
    <w:rsid w:val="008C75DD"/>
    <w:rsid w:val="008D1AA3"/>
    <w:rsid w:val="008E4B35"/>
    <w:rsid w:val="008E6355"/>
    <w:rsid w:val="008F209D"/>
    <w:rsid w:val="00933FDD"/>
    <w:rsid w:val="009571E2"/>
    <w:rsid w:val="009743FE"/>
    <w:rsid w:val="009A01E2"/>
    <w:rsid w:val="009A159F"/>
    <w:rsid w:val="009A4DC6"/>
    <w:rsid w:val="009B2BE3"/>
    <w:rsid w:val="009B6911"/>
    <w:rsid w:val="009C0C7D"/>
    <w:rsid w:val="009D4C4D"/>
    <w:rsid w:val="009E01B1"/>
    <w:rsid w:val="009E02ED"/>
    <w:rsid w:val="009E1CF7"/>
    <w:rsid w:val="00A01A55"/>
    <w:rsid w:val="00A24163"/>
    <w:rsid w:val="00A36F46"/>
    <w:rsid w:val="00A4396C"/>
    <w:rsid w:val="00A43BE9"/>
    <w:rsid w:val="00A52C29"/>
    <w:rsid w:val="00A646C3"/>
    <w:rsid w:val="00A744C7"/>
    <w:rsid w:val="00A772EC"/>
    <w:rsid w:val="00A90291"/>
    <w:rsid w:val="00AB2D84"/>
    <w:rsid w:val="00AC0436"/>
    <w:rsid w:val="00AC6280"/>
    <w:rsid w:val="00AD68BC"/>
    <w:rsid w:val="00AE6536"/>
    <w:rsid w:val="00AE7616"/>
    <w:rsid w:val="00B060C1"/>
    <w:rsid w:val="00B075B5"/>
    <w:rsid w:val="00B127B9"/>
    <w:rsid w:val="00B13E17"/>
    <w:rsid w:val="00B17A0C"/>
    <w:rsid w:val="00B23FC5"/>
    <w:rsid w:val="00B32828"/>
    <w:rsid w:val="00B33584"/>
    <w:rsid w:val="00B43205"/>
    <w:rsid w:val="00B5136C"/>
    <w:rsid w:val="00B54B81"/>
    <w:rsid w:val="00B569A6"/>
    <w:rsid w:val="00B61F8A"/>
    <w:rsid w:val="00B6485C"/>
    <w:rsid w:val="00B66B6C"/>
    <w:rsid w:val="00B66B74"/>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2CC6"/>
    <w:rsid w:val="00C736D5"/>
    <w:rsid w:val="00C77701"/>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442A"/>
    <w:rsid w:val="00DD576B"/>
    <w:rsid w:val="00DF2480"/>
    <w:rsid w:val="00DF74FC"/>
    <w:rsid w:val="00E14103"/>
    <w:rsid w:val="00E2237D"/>
    <w:rsid w:val="00E37C7D"/>
    <w:rsid w:val="00E43A45"/>
    <w:rsid w:val="00E50A03"/>
    <w:rsid w:val="00E719F1"/>
    <w:rsid w:val="00E72002"/>
    <w:rsid w:val="00E73CCA"/>
    <w:rsid w:val="00E7660E"/>
    <w:rsid w:val="00E80343"/>
    <w:rsid w:val="00E813E0"/>
    <w:rsid w:val="00EA082A"/>
    <w:rsid w:val="00EA3AE2"/>
    <w:rsid w:val="00EA4D34"/>
    <w:rsid w:val="00EB14A8"/>
    <w:rsid w:val="00EB4329"/>
    <w:rsid w:val="00ED1485"/>
    <w:rsid w:val="00EE1E11"/>
    <w:rsid w:val="00EE493C"/>
    <w:rsid w:val="00EF1EA3"/>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B17F5"/>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95778044">
      <w:marLeft w:val="0"/>
      <w:marRight w:val="0"/>
      <w:marTop w:val="0"/>
      <w:marBottom w:val="0"/>
      <w:divBdr>
        <w:top w:val="none" w:sz="0" w:space="0" w:color="auto"/>
        <w:left w:val="none" w:sz="0" w:space="0" w:color="auto"/>
        <w:bottom w:val="none" w:sz="0" w:space="0" w:color="auto"/>
        <w:right w:val="none" w:sz="0" w:space="0" w:color="auto"/>
      </w:divBdr>
    </w:div>
    <w:div w:id="1895778045">
      <w:marLeft w:val="0"/>
      <w:marRight w:val="0"/>
      <w:marTop w:val="0"/>
      <w:marBottom w:val="0"/>
      <w:divBdr>
        <w:top w:val="none" w:sz="0" w:space="0" w:color="auto"/>
        <w:left w:val="none" w:sz="0" w:space="0" w:color="auto"/>
        <w:bottom w:val="none" w:sz="0" w:space="0" w:color="auto"/>
        <w:right w:val="none" w:sz="0" w:space="0" w:color="auto"/>
      </w:divBdr>
    </w:div>
    <w:div w:id="1895778046">
      <w:marLeft w:val="0"/>
      <w:marRight w:val="0"/>
      <w:marTop w:val="0"/>
      <w:marBottom w:val="0"/>
      <w:divBdr>
        <w:top w:val="none" w:sz="0" w:space="0" w:color="auto"/>
        <w:left w:val="none" w:sz="0" w:space="0" w:color="auto"/>
        <w:bottom w:val="none" w:sz="0" w:space="0" w:color="auto"/>
        <w:right w:val="none" w:sz="0" w:space="0" w:color="auto"/>
      </w:divBdr>
    </w:div>
    <w:div w:id="1895778047">
      <w:marLeft w:val="0"/>
      <w:marRight w:val="0"/>
      <w:marTop w:val="0"/>
      <w:marBottom w:val="0"/>
      <w:divBdr>
        <w:top w:val="none" w:sz="0" w:space="0" w:color="auto"/>
        <w:left w:val="none" w:sz="0" w:space="0" w:color="auto"/>
        <w:bottom w:val="none" w:sz="0" w:space="0" w:color="auto"/>
        <w:right w:val="none" w:sz="0" w:space="0" w:color="auto"/>
      </w:divBdr>
    </w:div>
    <w:div w:id="1895778048">
      <w:marLeft w:val="0"/>
      <w:marRight w:val="0"/>
      <w:marTop w:val="0"/>
      <w:marBottom w:val="0"/>
      <w:divBdr>
        <w:top w:val="none" w:sz="0" w:space="0" w:color="auto"/>
        <w:left w:val="none" w:sz="0" w:space="0" w:color="auto"/>
        <w:bottom w:val="none" w:sz="0" w:space="0" w:color="auto"/>
        <w:right w:val="none" w:sz="0" w:space="0" w:color="auto"/>
      </w:divBdr>
    </w:div>
    <w:div w:id="1895778049">
      <w:marLeft w:val="0"/>
      <w:marRight w:val="0"/>
      <w:marTop w:val="0"/>
      <w:marBottom w:val="0"/>
      <w:divBdr>
        <w:top w:val="none" w:sz="0" w:space="0" w:color="auto"/>
        <w:left w:val="none" w:sz="0" w:space="0" w:color="auto"/>
        <w:bottom w:val="none" w:sz="0" w:space="0" w:color="auto"/>
        <w:right w:val="none" w:sz="0" w:space="0" w:color="auto"/>
      </w:divBdr>
    </w:div>
    <w:div w:id="1895778052">
      <w:marLeft w:val="0"/>
      <w:marRight w:val="0"/>
      <w:marTop w:val="0"/>
      <w:marBottom w:val="0"/>
      <w:divBdr>
        <w:top w:val="none" w:sz="0" w:space="0" w:color="auto"/>
        <w:left w:val="none" w:sz="0" w:space="0" w:color="auto"/>
        <w:bottom w:val="none" w:sz="0" w:space="0" w:color="auto"/>
        <w:right w:val="none" w:sz="0" w:space="0" w:color="auto"/>
      </w:divBdr>
      <w:divsChild>
        <w:div w:id="1895778054">
          <w:marLeft w:val="0"/>
          <w:marRight w:val="0"/>
          <w:marTop w:val="0"/>
          <w:marBottom w:val="0"/>
          <w:divBdr>
            <w:top w:val="none" w:sz="0" w:space="0" w:color="auto"/>
            <w:left w:val="none" w:sz="0" w:space="0" w:color="auto"/>
            <w:bottom w:val="none" w:sz="0" w:space="0" w:color="auto"/>
            <w:right w:val="none" w:sz="0" w:space="0" w:color="auto"/>
          </w:divBdr>
        </w:div>
      </w:divsChild>
    </w:div>
    <w:div w:id="1895778053">
      <w:marLeft w:val="0"/>
      <w:marRight w:val="0"/>
      <w:marTop w:val="0"/>
      <w:marBottom w:val="0"/>
      <w:divBdr>
        <w:top w:val="none" w:sz="0" w:space="0" w:color="auto"/>
        <w:left w:val="none" w:sz="0" w:space="0" w:color="auto"/>
        <w:bottom w:val="none" w:sz="0" w:space="0" w:color="auto"/>
        <w:right w:val="none" w:sz="0" w:space="0" w:color="auto"/>
      </w:divBdr>
      <w:divsChild>
        <w:div w:id="1895778051">
          <w:marLeft w:val="0"/>
          <w:marRight w:val="0"/>
          <w:marTop w:val="0"/>
          <w:marBottom w:val="0"/>
          <w:divBdr>
            <w:top w:val="none" w:sz="0" w:space="0" w:color="auto"/>
            <w:left w:val="none" w:sz="0" w:space="0" w:color="auto"/>
            <w:bottom w:val="none" w:sz="0" w:space="0" w:color="auto"/>
            <w:right w:val="none" w:sz="0" w:space="0" w:color="auto"/>
          </w:divBdr>
        </w:div>
      </w:divsChild>
    </w:div>
    <w:div w:id="1895778056">
      <w:marLeft w:val="0"/>
      <w:marRight w:val="0"/>
      <w:marTop w:val="0"/>
      <w:marBottom w:val="0"/>
      <w:divBdr>
        <w:top w:val="none" w:sz="0" w:space="0" w:color="auto"/>
        <w:left w:val="none" w:sz="0" w:space="0" w:color="auto"/>
        <w:bottom w:val="none" w:sz="0" w:space="0" w:color="auto"/>
        <w:right w:val="none" w:sz="0" w:space="0" w:color="auto"/>
      </w:divBdr>
      <w:divsChild>
        <w:div w:id="1895778050">
          <w:marLeft w:val="0"/>
          <w:marRight w:val="0"/>
          <w:marTop w:val="0"/>
          <w:marBottom w:val="0"/>
          <w:divBdr>
            <w:top w:val="none" w:sz="0" w:space="0" w:color="auto"/>
            <w:left w:val="none" w:sz="0" w:space="0" w:color="auto"/>
            <w:bottom w:val="none" w:sz="0" w:space="0" w:color="auto"/>
            <w:right w:val="none" w:sz="0" w:space="0" w:color="auto"/>
          </w:divBdr>
        </w:div>
      </w:divsChild>
    </w:div>
    <w:div w:id="1895778057">
      <w:marLeft w:val="0"/>
      <w:marRight w:val="0"/>
      <w:marTop w:val="0"/>
      <w:marBottom w:val="0"/>
      <w:divBdr>
        <w:top w:val="none" w:sz="0" w:space="0" w:color="auto"/>
        <w:left w:val="none" w:sz="0" w:space="0" w:color="auto"/>
        <w:bottom w:val="none" w:sz="0" w:space="0" w:color="auto"/>
        <w:right w:val="none" w:sz="0" w:space="0" w:color="auto"/>
      </w:divBdr>
      <w:divsChild>
        <w:div w:id="1895778055">
          <w:marLeft w:val="0"/>
          <w:marRight w:val="0"/>
          <w:marTop w:val="0"/>
          <w:marBottom w:val="0"/>
          <w:divBdr>
            <w:top w:val="none" w:sz="0" w:space="0" w:color="auto"/>
            <w:left w:val="none" w:sz="0" w:space="0" w:color="auto"/>
            <w:bottom w:val="none" w:sz="0" w:space="0" w:color="auto"/>
            <w:right w:val="none" w:sz="0" w:space="0" w:color="auto"/>
          </w:divBdr>
        </w:div>
      </w:divsChild>
    </w:div>
    <w:div w:id="1895778058">
      <w:marLeft w:val="0"/>
      <w:marRight w:val="0"/>
      <w:marTop w:val="0"/>
      <w:marBottom w:val="0"/>
      <w:divBdr>
        <w:top w:val="none" w:sz="0" w:space="0" w:color="auto"/>
        <w:left w:val="none" w:sz="0" w:space="0" w:color="auto"/>
        <w:bottom w:val="none" w:sz="0" w:space="0" w:color="auto"/>
        <w:right w:val="none" w:sz="0" w:space="0" w:color="auto"/>
      </w:divBdr>
    </w:div>
    <w:div w:id="1895778059">
      <w:marLeft w:val="0"/>
      <w:marRight w:val="0"/>
      <w:marTop w:val="0"/>
      <w:marBottom w:val="0"/>
      <w:divBdr>
        <w:top w:val="none" w:sz="0" w:space="0" w:color="auto"/>
        <w:left w:val="none" w:sz="0" w:space="0" w:color="auto"/>
        <w:bottom w:val="none" w:sz="0" w:space="0" w:color="auto"/>
        <w:right w:val="none" w:sz="0" w:space="0" w:color="auto"/>
      </w:divBdr>
    </w:div>
    <w:div w:id="1895778060">
      <w:marLeft w:val="0"/>
      <w:marRight w:val="0"/>
      <w:marTop w:val="0"/>
      <w:marBottom w:val="0"/>
      <w:divBdr>
        <w:top w:val="none" w:sz="0" w:space="0" w:color="auto"/>
        <w:left w:val="none" w:sz="0" w:space="0" w:color="auto"/>
        <w:bottom w:val="none" w:sz="0" w:space="0" w:color="auto"/>
        <w:right w:val="none" w:sz="0" w:space="0" w:color="auto"/>
      </w:divBdr>
    </w:div>
    <w:div w:id="1895778061">
      <w:marLeft w:val="0"/>
      <w:marRight w:val="0"/>
      <w:marTop w:val="0"/>
      <w:marBottom w:val="0"/>
      <w:divBdr>
        <w:top w:val="none" w:sz="0" w:space="0" w:color="auto"/>
        <w:left w:val="none" w:sz="0" w:space="0" w:color="auto"/>
        <w:bottom w:val="none" w:sz="0" w:space="0" w:color="auto"/>
        <w:right w:val="none" w:sz="0" w:space="0" w:color="auto"/>
      </w:divBdr>
    </w:div>
    <w:div w:id="1895778062">
      <w:marLeft w:val="0"/>
      <w:marRight w:val="0"/>
      <w:marTop w:val="0"/>
      <w:marBottom w:val="0"/>
      <w:divBdr>
        <w:top w:val="none" w:sz="0" w:space="0" w:color="auto"/>
        <w:left w:val="none" w:sz="0" w:space="0" w:color="auto"/>
        <w:bottom w:val="none" w:sz="0" w:space="0" w:color="auto"/>
        <w:right w:val="none" w:sz="0" w:space="0" w:color="auto"/>
      </w:divBdr>
    </w:div>
    <w:div w:id="1895778063">
      <w:marLeft w:val="0"/>
      <w:marRight w:val="0"/>
      <w:marTop w:val="0"/>
      <w:marBottom w:val="0"/>
      <w:divBdr>
        <w:top w:val="none" w:sz="0" w:space="0" w:color="auto"/>
        <w:left w:val="none" w:sz="0" w:space="0" w:color="auto"/>
        <w:bottom w:val="none" w:sz="0" w:space="0" w:color="auto"/>
        <w:right w:val="none" w:sz="0" w:space="0" w:color="auto"/>
      </w:divBdr>
    </w:div>
    <w:div w:id="1895778064">
      <w:marLeft w:val="0"/>
      <w:marRight w:val="0"/>
      <w:marTop w:val="0"/>
      <w:marBottom w:val="0"/>
      <w:divBdr>
        <w:top w:val="none" w:sz="0" w:space="0" w:color="auto"/>
        <w:left w:val="none" w:sz="0" w:space="0" w:color="auto"/>
        <w:bottom w:val="none" w:sz="0" w:space="0" w:color="auto"/>
        <w:right w:val="none" w:sz="0" w:space="0" w:color="auto"/>
      </w:divBdr>
    </w:div>
    <w:div w:id="1895778067">
      <w:marLeft w:val="0"/>
      <w:marRight w:val="0"/>
      <w:marTop w:val="0"/>
      <w:marBottom w:val="0"/>
      <w:divBdr>
        <w:top w:val="none" w:sz="0" w:space="0" w:color="auto"/>
        <w:left w:val="none" w:sz="0" w:space="0" w:color="auto"/>
        <w:bottom w:val="none" w:sz="0" w:space="0" w:color="auto"/>
        <w:right w:val="none" w:sz="0" w:space="0" w:color="auto"/>
      </w:divBdr>
      <w:divsChild>
        <w:div w:id="1895778065">
          <w:marLeft w:val="0"/>
          <w:marRight w:val="0"/>
          <w:marTop w:val="0"/>
          <w:marBottom w:val="0"/>
          <w:divBdr>
            <w:top w:val="none" w:sz="0" w:space="0" w:color="auto"/>
            <w:left w:val="none" w:sz="0" w:space="0" w:color="auto"/>
            <w:bottom w:val="none" w:sz="0" w:space="0" w:color="auto"/>
            <w:right w:val="none" w:sz="0" w:space="0" w:color="auto"/>
          </w:divBdr>
          <w:divsChild>
            <w:div w:id="1895778066">
              <w:marLeft w:val="0"/>
              <w:marRight w:val="0"/>
              <w:marTop w:val="0"/>
              <w:marBottom w:val="0"/>
              <w:divBdr>
                <w:top w:val="none" w:sz="0" w:space="0" w:color="auto"/>
                <w:left w:val="none" w:sz="0" w:space="0" w:color="auto"/>
                <w:bottom w:val="none" w:sz="0" w:space="0" w:color="auto"/>
                <w:right w:val="none" w:sz="0" w:space="0" w:color="auto"/>
              </w:divBdr>
            </w:div>
            <w:div w:id="1895778068">
              <w:marLeft w:val="0"/>
              <w:marRight w:val="0"/>
              <w:marTop w:val="0"/>
              <w:marBottom w:val="0"/>
              <w:divBdr>
                <w:top w:val="none" w:sz="0" w:space="0" w:color="auto"/>
                <w:left w:val="none" w:sz="0" w:space="0" w:color="auto"/>
                <w:bottom w:val="none" w:sz="0" w:space="0" w:color="auto"/>
                <w:right w:val="none" w:sz="0" w:space="0" w:color="auto"/>
              </w:divBdr>
              <w:divsChild>
                <w:div w:id="18957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074">
          <w:marLeft w:val="0"/>
          <w:marRight w:val="0"/>
          <w:marTop w:val="0"/>
          <w:marBottom w:val="0"/>
          <w:divBdr>
            <w:top w:val="none" w:sz="0" w:space="0" w:color="auto"/>
            <w:left w:val="none" w:sz="0" w:space="0" w:color="auto"/>
            <w:bottom w:val="none" w:sz="0" w:space="0" w:color="auto"/>
            <w:right w:val="none" w:sz="0" w:space="0" w:color="auto"/>
          </w:divBdr>
          <w:divsChild>
            <w:div w:id="1895778072">
              <w:marLeft w:val="0"/>
              <w:marRight w:val="0"/>
              <w:marTop w:val="0"/>
              <w:marBottom w:val="0"/>
              <w:divBdr>
                <w:top w:val="none" w:sz="0" w:space="0" w:color="auto"/>
                <w:left w:val="none" w:sz="0" w:space="0" w:color="auto"/>
                <w:bottom w:val="none" w:sz="0" w:space="0" w:color="auto"/>
                <w:right w:val="none" w:sz="0" w:space="0" w:color="auto"/>
              </w:divBdr>
              <w:divsChild>
                <w:div w:id="1895778075">
                  <w:marLeft w:val="0"/>
                  <w:marRight w:val="0"/>
                  <w:marTop w:val="0"/>
                  <w:marBottom w:val="0"/>
                  <w:divBdr>
                    <w:top w:val="none" w:sz="0" w:space="0" w:color="auto"/>
                    <w:left w:val="none" w:sz="0" w:space="0" w:color="auto"/>
                    <w:bottom w:val="none" w:sz="0" w:space="0" w:color="auto"/>
                    <w:right w:val="none" w:sz="0" w:space="0" w:color="auto"/>
                  </w:divBdr>
                  <w:divsChild>
                    <w:div w:id="1895778069">
                      <w:marLeft w:val="0"/>
                      <w:marRight w:val="0"/>
                      <w:marTop w:val="0"/>
                      <w:marBottom w:val="0"/>
                      <w:divBdr>
                        <w:top w:val="none" w:sz="0" w:space="0" w:color="auto"/>
                        <w:left w:val="none" w:sz="0" w:space="0" w:color="auto"/>
                        <w:bottom w:val="none" w:sz="0" w:space="0" w:color="auto"/>
                        <w:right w:val="none" w:sz="0" w:space="0" w:color="auto"/>
                      </w:divBdr>
                      <w:divsChild>
                        <w:div w:id="1895778073">
                          <w:marLeft w:val="0"/>
                          <w:marRight w:val="0"/>
                          <w:marTop w:val="0"/>
                          <w:marBottom w:val="0"/>
                          <w:divBdr>
                            <w:top w:val="none" w:sz="0" w:space="0" w:color="auto"/>
                            <w:left w:val="none" w:sz="0" w:space="0" w:color="auto"/>
                            <w:bottom w:val="none" w:sz="0" w:space="0" w:color="auto"/>
                            <w:right w:val="none" w:sz="0" w:space="0" w:color="auto"/>
                          </w:divBdr>
                          <w:divsChild>
                            <w:div w:id="189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8076">
      <w:marLeft w:val="0"/>
      <w:marRight w:val="0"/>
      <w:marTop w:val="0"/>
      <w:marBottom w:val="0"/>
      <w:divBdr>
        <w:top w:val="none" w:sz="0" w:space="0" w:color="auto"/>
        <w:left w:val="none" w:sz="0" w:space="0" w:color="auto"/>
        <w:bottom w:val="none" w:sz="0" w:space="0" w:color="auto"/>
        <w:right w:val="none" w:sz="0" w:space="0" w:color="auto"/>
      </w:divBdr>
    </w:div>
    <w:div w:id="1895778080">
      <w:marLeft w:val="0"/>
      <w:marRight w:val="0"/>
      <w:marTop w:val="0"/>
      <w:marBottom w:val="0"/>
      <w:divBdr>
        <w:top w:val="none" w:sz="0" w:space="0" w:color="auto"/>
        <w:left w:val="none" w:sz="0" w:space="0" w:color="auto"/>
        <w:bottom w:val="none" w:sz="0" w:space="0" w:color="auto"/>
        <w:right w:val="none" w:sz="0" w:space="0" w:color="auto"/>
      </w:divBdr>
      <w:divsChild>
        <w:div w:id="1895778078">
          <w:marLeft w:val="0"/>
          <w:marRight w:val="0"/>
          <w:marTop w:val="0"/>
          <w:marBottom w:val="0"/>
          <w:divBdr>
            <w:top w:val="none" w:sz="0" w:space="0" w:color="auto"/>
            <w:left w:val="none" w:sz="0" w:space="0" w:color="auto"/>
            <w:bottom w:val="none" w:sz="0" w:space="0" w:color="auto"/>
            <w:right w:val="none" w:sz="0" w:space="0" w:color="auto"/>
          </w:divBdr>
          <w:divsChild>
            <w:div w:id="1895778079">
              <w:marLeft w:val="0"/>
              <w:marRight w:val="0"/>
              <w:marTop w:val="0"/>
              <w:marBottom w:val="0"/>
              <w:divBdr>
                <w:top w:val="none" w:sz="0" w:space="0" w:color="auto"/>
                <w:left w:val="none" w:sz="0" w:space="0" w:color="auto"/>
                <w:bottom w:val="none" w:sz="0" w:space="0" w:color="auto"/>
                <w:right w:val="none" w:sz="0" w:space="0" w:color="auto"/>
              </w:divBdr>
              <w:divsChild>
                <w:div w:id="1895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8082">
      <w:marLeft w:val="0"/>
      <w:marRight w:val="0"/>
      <w:marTop w:val="0"/>
      <w:marBottom w:val="0"/>
      <w:divBdr>
        <w:top w:val="none" w:sz="0" w:space="0" w:color="auto"/>
        <w:left w:val="none" w:sz="0" w:space="0" w:color="auto"/>
        <w:bottom w:val="none" w:sz="0" w:space="0" w:color="auto"/>
        <w:right w:val="none" w:sz="0" w:space="0" w:color="auto"/>
      </w:divBdr>
      <w:divsChild>
        <w:div w:id="1895778081">
          <w:marLeft w:val="0"/>
          <w:marRight w:val="0"/>
          <w:marTop w:val="0"/>
          <w:marBottom w:val="0"/>
          <w:divBdr>
            <w:top w:val="none" w:sz="0" w:space="0" w:color="auto"/>
            <w:left w:val="none" w:sz="0" w:space="0" w:color="auto"/>
            <w:bottom w:val="none" w:sz="0" w:space="0" w:color="auto"/>
            <w:right w:val="none" w:sz="0" w:space="0" w:color="auto"/>
          </w:divBdr>
          <w:divsChild>
            <w:div w:id="18957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61</TotalTime>
  <Pages>3</Pages>
  <Words>543</Words>
  <Characters>3262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9</cp:revision>
  <cp:lastPrinted>2023-03-02T11:25:00Z</cp:lastPrinted>
  <dcterms:created xsi:type="dcterms:W3CDTF">2023-03-01T12:31:00Z</dcterms:created>
  <dcterms:modified xsi:type="dcterms:W3CDTF">2023-03-02T11:59:00Z</dcterms:modified>
</cp:coreProperties>
</file>