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EE609E7" w14:textId="77777777" w:rsidR="004426A2" w:rsidRPr="009618D1" w:rsidRDefault="004426A2" w:rsidP="004426A2">
      <w:pPr>
        <w:spacing w:after="0" w:line="240" w:lineRule="auto"/>
        <w:ind w:left="-142" w:right="-142" w:hanging="22"/>
        <w:jc w:val="center"/>
        <w:rPr>
          <w:rFonts w:ascii="Calibri" w:hAnsi="Calibri"/>
          <w:b/>
          <w:u w:val="single"/>
        </w:rPr>
      </w:pPr>
      <w:bookmarkStart w:id="0" w:name="_Hlk68844912"/>
      <w:bookmarkStart w:id="1" w:name="_Hlk123546381"/>
      <w:r>
        <w:rPr>
          <w:rFonts w:ascii="Calibri" w:hAnsi="Calibri"/>
          <w:b/>
          <w:bCs/>
          <w:u w:val="single"/>
        </w:rPr>
        <w:t xml:space="preserve">Wyjaśnienia i </w:t>
      </w:r>
      <w:r w:rsidRPr="009618D1">
        <w:rPr>
          <w:rFonts w:ascii="Calibri" w:hAnsi="Calibri"/>
          <w:b/>
          <w:bCs/>
          <w:u w:val="single"/>
        </w:rPr>
        <w:t xml:space="preserve">ZMIANA Nr </w:t>
      </w:r>
      <w:r>
        <w:rPr>
          <w:rFonts w:ascii="Calibri" w:hAnsi="Calibri"/>
          <w:b/>
          <w:bCs/>
          <w:u w:val="single"/>
        </w:rPr>
        <w:t xml:space="preserve">1 </w:t>
      </w:r>
      <w:r w:rsidRPr="009618D1">
        <w:rPr>
          <w:rFonts w:ascii="Calibri" w:hAnsi="Calibri"/>
          <w:b/>
          <w:bCs/>
          <w:u w:val="single"/>
        </w:rPr>
        <w:t>treści SWZ</w:t>
      </w:r>
      <w:bookmarkStart w:id="2" w:name="_Hlk68845069"/>
      <w:bookmarkEnd w:id="0"/>
    </w:p>
    <w:p w14:paraId="7A169D82" w14:textId="77777777" w:rsidR="004426A2" w:rsidRPr="009618D1" w:rsidRDefault="004426A2" w:rsidP="004426A2">
      <w:pPr>
        <w:spacing w:after="0" w:line="240" w:lineRule="auto"/>
        <w:ind w:left="-426" w:right="-428"/>
        <w:jc w:val="center"/>
        <w:rPr>
          <w:rFonts w:ascii="Calibri" w:hAnsi="Calibri"/>
          <w:b/>
          <w:iCs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E973BA">
        <w:rPr>
          <w:rFonts w:ascii="Calibri" w:hAnsi="Calibri"/>
          <w:u w:val="single"/>
        </w:rPr>
        <w:t>zgodnie z art.135 ust. 6 i art. 137 ust.2 ustawy</w:t>
      </w:r>
      <w:r w:rsidRPr="0005575B">
        <w:rPr>
          <w:rFonts w:ascii="Calibri" w:hAnsi="Calibri"/>
          <w:u w:val="single"/>
        </w:rPr>
        <w:t xml:space="preserve"> z dnia 11 września 2019 r. Prawo zamówień publicznych </w:t>
      </w:r>
      <w:r w:rsidRPr="0005575B">
        <w:rPr>
          <w:rFonts w:ascii="Calibri" w:hAnsi="Calibri"/>
          <w:u w:val="single"/>
        </w:rPr>
        <w:br/>
        <w:t>(</w:t>
      </w:r>
      <w:proofErr w:type="spellStart"/>
      <w:r w:rsidRPr="0005575B">
        <w:rPr>
          <w:rFonts w:ascii="Calibri" w:hAnsi="Calibri"/>
          <w:u w:val="single"/>
        </w:rPr>
        <w:t>t.j</w:t>
      </w:r>
      <w:proofErr w:type="spellEnd"/>
      <w:r w:rsidRPr="0005575B">
        <w:rPr>
          <w:rFonts w:ascii="Calibri" w:hAnsi="Calibri"/>
          <w:u w:val="single"/>
        </w:rPr>
        <w:t xml:space="preserve">. </w:t>
      </w:r>
      <w:r w:rsidRPr="00901069">
        <w:rPr>
          <w:rFonts w:ascii="Calibri" w:eastAsia="Times New Roman" w:hAnsi="Calibri" w:cs="Times New Roman"/>
          <w:u w:val="single"/>
          <w:lang w:eastAsia="pl-PL"/>
        </w:rPr>
        <w:t>Dz.U. 2022 poz. 1710 z późn. zm.</w:t>
      </w:r>
      <w:r w:rsidRPr="0005575B">
        <w:rPr>
          <w:rFonts w:ascii="Calibri" w:hAnsi="Calibri"/>
          <w:u w:val="single"/>
        </w:rPr>
        <w:t xml:space="preserve">; dalej </w:t>
      </w:r>
      <w:proofErr w:type="spellStart"/>
      <w:r w:rsidRPr="0005575B">
        <w:rPr>
          <w:rFonts w:ascii="Calibri" w:hAnsi="Calibri"/>
          <w:u w:val="single"/>
        </w:rPr>
        <w:t>Pzp</w:t>
      </w:r>
      <w:proofErr w:type="spellEnd"/>
      <w:r w:rsidRPr="0005575B">
        <w:rPr>
          <w:rFonts w:ascii="Calibri" w:hAnsi="Calibri"/>
          <w:u w:val="single"/>
        </w:rPr>
        <w:t xml:space="preserve">), </w:t>
      </w:r>
      <w:r w:rsidRPr="0005575B">
        <w:rPr>
          <w:rFonts w:ascii="Calibri" w:hAnsi="Calibri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E973BA">
        <w:rPr>
          <w:rFonts w:ascii="Calibri" w:hAnsi="Calibri"/>
          <w:b/>
          <w:iCs/>
        </w:rPr>
        <w:t>w dniu 02.01.2023 r.</w:t>
      </w:r>
    </w:p>
    <w:bookmarkEnd w:id="2"/>
    <w:p w14:paraId="50A58614" w14:textId="77777777" w:rsidR="004426A2" w:rsidRDefault="004426A2" w:rsidP="004426A2">
      <w:pPr>
        <w:spacing w:after="0" w:line="240" w:lineRule="auto"/>
        <w:ind w:hanging="22"/>
        <w:jc w:val="center"/>
        <w:rPr>
          <w:rFonts w:cstheme="minorHAnsi"/>
          <w:bCs/>
          <w:iCs/>
        </w:rPr>
      </w:pPr>
    </w:p>
    <w:p w14:paraId="48B0B6B5" w14:textId="77777777" w:rsidR="004426A2" w:rsidRPr="000A3487" w:rsidRDefault="004426A2" w:rsidP="004426A2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iCs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przetargu nieograniczonego pn.: </w:t>
      </w:r>
      <w:r w:rsidRPr="004D4002">
        <w:rPr>
          <w:rFonts w:cstheme="minorHAnsi"/>
          <w:iCs/>
        </w:rPr>
        <w:t>„</w:t>
      </w:r>
      <w:r w:rsidRPr="004D4002">
        <w:rPr>
          <w:rFonts w:cstheme="minorHAnsi"/>
          <w:b/>
          <w:iCs/>
        </w:rPr>
        <w:t>Usługa utrzymania w stałej sprawności (ciągłej pracy) urządzeń działających w ramach systemu ITS w Bydgoszczy w 202</w:t>
      </w:r>
      <w:r>
        <w:rPr>
          <w:rFonts w:cstheme="minorHAnsi"/>
          <w:b/>
          <w:iCs/>
        </w:rPr>
        <w:t>3</w:t>
      </w:r>
      <w:r w:rsidRPr="004D4002">
        <w:rPr>
          <w:rFonts w:cstheme="minorHAnsi"/>
          <w:b/>
          <w:iCs/>
        </w:rPr>
        <w:t xml:space="preserve"> roku</w:t>
      </w:r>
      <w:r w:rsidRPr="004D4002">
        <w:rPr>
          <w:rFonts w:cstheme="minorHAnsi"/>
          <w:b/>
          <w:bCs/>
          <w:iCs/>
        </w:rPr>
        <w:t xml:space="preserve">”, </w:t>
      </w:r>
      <w:r w:rsidRPr="004D4002">
        <w:rPr>
          <w:rFonts w:cstheme="minorHAnsi"/>
          <w:iCs/>
        </w:rPr>
        <w:t>Nr sprawy</w:t>
      </w:r>
      <w:r w:rsidRPr="000A3487">
        <w:rPr>
          <w:rFonts w:cstheme="minorHAnsi"/>
          <w:iCs/>
        </w:rPr>
        <w:t xml:space="preserve"> </w:t>
      </w:r>
      <w:r>
        <w:rPr>
          <w:rFonts w:cstheme="minorHAnsi"/>
          <w:b/>
          <w:iCs/>
        </w:rPr>
        <w:t>071</w:t>
      </w:r>
      <w:r w:rsidRPr="000A3487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2</w:t>
      </w:r>
      <w:r w:rsidRPr="000A3487">
        <w:rPr>
          <w:rFonts w:cstheme="minorHAnsi"/>
          <w:b/>
          <w:iCs/>
        </w:rPr>
        <w:t>.</w:t>
      </w:r>
    </w:p>
    <w:p w14:paraId="3E5E101A" w14:textId="11EFA0C1" w:rsidR="004426A2" w:rsidRDefault="004426A2" w:rsidP="004426A2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  <w:bCs/>
          <w:iCs/>
        </w:rPr>
      </w:pPr>
    </w:p>
    <w:p w14:paraId="30F6CD61" w14:textId="77777777" w:rsidR="00CC3243" w:rsidRDefault="00CC3243" w:rsidP="004426A2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  <w:bCs/>
          <w:iCs/>
        </w:rPr>
      </w:pPr>
    </w:p>
    <w:p w14:paraId="4406EE27" w14:textId="77777777" w:rsidR="004426A2" w:rsidRPr="00E973BA" w:rsidRDefault="004426A2" w:rsidP="004426A2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E973BA">
        <w:rPr>
          <w:rFonts w:ascii="Calibri" w:hAnsi="Calibri" w:cs="Arial"/>
          <w:sz w:val="22"/>
          <w:szCs w:val="22"/>
        </w:rPr>
        <w:t xml:space="preserve">Zgodnie z art. 135 ust. 1 i 2 </w:t>
      </w:r>
      <w:proofErr w:type="spellStart"/>
      <w:r w:rsidRPr="00E973BA">
        <w:rPr>
          <w:rFonts w:ascii="Calibri" w:hAnsi="Calibri" w:cs="Arial"/>
          <w:sz w:val="22"/>
          <w:szCs w:val="22"/>
        </w:rPr>
        <w:t>Pzp</w:t>
      </w:r>
      <w:proofErr w:type="spellEnd"/>
      <w:r w:rsidRPr="00E973BA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E973BA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E973BA">
        <w:rPr>
          <w:rFonts w:ascii="Calibri" w:hAnsi="Calibri"/>
          <w:spacing w:val="-2"/>
          <w:sz w:val="22"/>
          <w:szCs w:val="22"/>
        </w:rPr>
        <w:t xml:space="preserve">Zamawiający </w:t>
      </w:r>
      <w:r w:rsidRPr="00E973BA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Pr="00E973BA">
        <w:rPr>
          <w:rFonts w:ascii="Calibri" w:hAnsi="Calibri" w:cs="Arial"/>
          <w:bCs/>
          <w:sz w:val="22"/>
          <w:szCs w:val="22"/>
        </w:rPr>
        <w:t>zmienia</w:t>
      </w:r>
      <w:r w:rsidRPr="00E973BA">
        <w:rPr>
          <w:rFonts w:ascii="Calibri" w:hAnsi="Calibri" w:cs="Arial"/>
          <w:sz w:val="22"/>
          <w:szCs w:val="22"/>
        </w:rPr>
        <w:t xml:space="preserve"> treść SWZ w ich następstwie </w:t>
      </w:r>
      <w:r w:rsidRPr="00E973BA">
        <w:rPr>
          <w:rFonts w:ascii="Calibri" w:hAnsi="Calibri" w:cs="Arial"/>
          <w:sz w:val="22"/>
          <w:szCs w:val="22"/>
        </w:rPr>
        <w:br/>
        <w:t xml:space="preserve">w oparciu o art. 137 ust. 1 </w:t>
      </w:r>
      <w:proofErr w:type="spellStart"/>
      <w:r w:rsidRPr="00E973BA">
        <w:rPr>
          <w:rFonts w:ascii="Calibri" w:hAnsi="Calibri" w:cs="Arial"/>
          <w:sz w:val="22"/>
          <w:szCs w:val="22"/>
        </w:rPr>
        <w:t>Pzp</w:t>
      </w:r>
      <w:proofErr w:type="spellEnd"/>
      <w:r w:rsidRPr="00E973BA">
        <w:rPr>
          <w:rFonts w:ascii="Calibri" w:hAnsi="Calibri" w:cs="Arial"/>
          <w:sz w:val="22"/>
          <w:szCs w:val="22"/>
        </w:rPr>
        <w:t>:</w:t>
      </w:r>
    </w:p>
    <w:p w14:paraId="58EB1D4B" w14:textId="77777777" w:rsidR="004426A2" w:rsidRDefault="004426A2" w:rsidP="004426A2">
      <w:pPr>
        <w:tabs>
          <w:tab w:val="left" w:pos="284"/>
        </w:tabs>
        <w:spacing w:before="360" w:after="120" w:line="240" w:lineRule="auto"/>
        <w:rPr>
          <w:rFonts w:ascii="Calibri" w:hAnsi="Calibri"/>
          <w:b/>
          <w:color w:val="FF0000"/>
        </w:rPr>
      </w:pPr>
      <w:bookmarkStart w:id="3" w:name="_Hlk78289334"/>
      <w:r w:rsidRPr="00E941AA">
        <w:rPr>
          <w:rFonts w:ascii="Calibri" w:hAnsi="Calibri"/>
          <w:b/>
          <w:color w:val="FF0000"/>
        </w:rPr>
        <w:t xml:space="preserve">Pytania – zestaw </w:t>
      </w:r>
      <w:r>
        <w:rPr>
          <w:rFonts w:ascii="Calibri" w:hAnsi="Calibri"/>
          <w:b/>
          <w:color w:val="FF0000"/>
        </w:rPr>
        <w:t>1</w:t>
      </w:r>
      <w:r w:rsidRPr="00E941AA">
        <w:rPr>
          <w:rFonts w:ascii="Calibri" w:hAnsi="Calibri"/>
          <w:b/>
          <w:color w:val="FF0000"/>
        </w:rPr>
        <w:t xml:space="preserve"> z dnia </w:t>
      </w:r>
      <w:r>
        <w:rPr>
          <w:rFonts w:ascii="Calibri" w:hAnsi="Calibri"/>
          <w:b/>
          <w:color w:val="FF0000"/>
        </w:rPr>
        <w:t>29</w:t>
      </w:r>
      <w:r w:rsidRPr="00E941AA">
        <w:rPr>
          <w:rFonts w:ascii="Calibri" w:hAnsi="Calibri"/>
          <w:b/>
          <w:color w:val="FF0000"/>
        </w:rPr>
        <w:t>.</w:t>
      </w:r>
      <w:r>
        <w:rPr>
          <w:rFonts w:ascii="Calibri" w:hAnsi="Calibri"/>
          <w:b/>
          <w:color w:val="FF0000"/>
        </w:rPr>
        <w:t>12</w:t>
      </w:r>
      <w:r w:rsidRPr="00E941AA">
        <w:rPr>
          <w:rFonts w:ascii="Calibri" w:hAnsi="Calibri"/>
          <w:b/>
          <w:color w:val="FF0000"/>
        </w:rPr>
        <w:t>.202</w:t>
      </w:r>
      <w:r>
        <w:rPr>
          <w:rFonts w:ascii="Calibri" w:hAnsi="Calibri"/>
          <w:b/>
          <w:color w:val="FF0000"/>
        </w:rPr>
        <w:t>2</w:t>
      </w:r>
      <w:r w:rsidRPr="00E941AA">
        <w:rPr>
          <w:rFonts w:ascii="Calibri" w:hAnsi="Calibri"/>
          <w:b/>
          <w:color w:val="FF0000"/>
        </w:rPr>
        <w:t xml:space="preserve"> r.</w:t>
      </w:r>
    </w:p>
    <w:p w14:paraId="4ECF98E4" w14:textId="77777777" w:rsidR="004426A2" w:rsidRPr="00DB650F" w:rsidRDefault="004426A2" w:rsidP="004426A2">
      <w:pPr>
        <w:spacing w:before="120"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1.</w:t>
      </w:r>
      <w:r w:rsidRPr="00884A37">
        <w:rPr>
          <w:rFonts w:cstheme="minorHAnsi"/>
        </w:rPr>
        <w:t>1.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26 </w:t>
      </w:r>
    </w:p>
    <w:p w14:paraId="0D294A15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B650F">
        <w:rPr>
          <w:rFonts w:cstheme="minorHAnsi"/>
        </w:rPr>
        <w:t xml:space="preserve">„Wymiana, naprawa uszkodzonej kamer ANPR Sicore-W25C12-02-01-X firmy Siemens wraz </w:t>
      </w:r>
      <w:r>
        <w:rPr>
          <w:rFonts w:cstheme="minorHAnsi"/>
        </w:rPr>
        <w:br/>
      </w:r>
      <w:r w:rsidRPr="00DB650F">
        <w:rPr>
          <w:rFonts w:cstheme="minorHAnsi"/>
        </w:rPr>
        <w:t xml:space="preserve">z konfiguracją” </w:t>
      </w:r>
    </w:p>
    <w:p w14:paraId="040BC6A6" w14:textId="77777777" w:rsidR="004426A2" w:rsidRPr="00DB650F" w:rsidRDefault="004426A2" w:rsidP="004426A2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650F">
        <w:rPr>
          <w:rFonts w:asciiTheme="minorHAnsi" w:hAnsiTheme="minorHAnsi" w:cstheme="minorHAnsi"/>
          <w:sz w:val="22"/>
          <w:szCs w:val="22"/>
        </w:rPr>
        <w:t>Zwracamy się z prośbą o potwierdzenie, że fraza „wraz z konfiguracją” oznacza ponowną konfigurację kamery do pracy w Systemie, w tym także w Aplikacji nadrzędnej systemu ITS.</w:t>
      </w:r>
    </w:p>
    <w:p w14:paraId="52D07890" w14:textId="77777777" w:rsidR="004426A2" w:rsidRPr="0077239F" w:rsidRDefault="004426A2" w:rsidP="004426A2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2AE173D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fraza „wraz z konfiguracją” oznacza ponowną konfigurację kamery do pracy w Systemie, w tym także w Aplikacji nadrzędnej systemu ITS.</w:t>
      </w:r>
    </w:p>
    <w:p w14:paraId="0BBE3A5B" w14:textId="77777777" w:rsidR="004426A2" w:rsidRPr="00DB650F" w:rsidRDefault="004426A2" w:rsidP="004426A2">
      <w:pPr>
        <w:spacing w:before="12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1.2</w:t>
      </w:r>
      <w:r w:rsidRPr="00884A37">
        <w:rPr>
          <w:rFonts w:cstheme="minorHAnsi"/>
        </w:rPr>
        <w:t>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41 </w:t>
      </w:r>
    </w:p>
    <w:p w14:paraId="1BD17B92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B650F">
        <w:rPr>
          <w:rFonts w:cstheme="minorHAnsi"/>
        </w:rPr>
        <w:t xml:space="preserve">„Wymiana uszkodzonej karty komunikacji sterownika ASTER-IT z SCATS SOTU” </w:t>
      </w:r>
    </w:p>
    <w:p w14:paraId="4E7E4098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B650F">
        <w:rPr>
          <w:rFonts w:cstheme="minorHAnsi"/>
        </w:rPr>
        <w:t xml:space="preserve">Zwracamy się z prośbą o potwierdzenie, że w kosztach pozycji 41 należy uwzględnić również ponowną konfigurację karty komunikacji sterownika ASTER-IT z SCATS SOTU. </w:t>
      </w:r>
    </w:p>
    <w:p w14:paraId="5C80D5AB" w14:textId="77777777" w:rsidR="004426A2" w:rsidRPr="0077239F" w:rsidRDefault="004426A2" w:rsidP="004426A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591E1C7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w kosztach pozycji 41 należy uwzględnić również ponowną konfigurację karty komunikacji sterownika ASTER-IT z SCATS SOTU.</w:t>
      </w:r>
    </w:p>
    <w:p w14:paraId="588F7545" w14:textId="77777777" w:rsidR="004426A2" w:rsidRPr="00DB650F" w:rsidRDefault="004426A2" w:rsidP="004426A2">
      <w:pPr>
        <w:spacing w:before="12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1.3</w:t>
      </w:r>
      <w:r w:rsidRPr="00884A37">
        <w:rPr>
          <w:rFonts w:cstheme="minorHAnsi"/>
        </w:rPr>
        <w:t>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46 </w:t>
      </w:r>
    </w:p>
    <w:p w14:paraId="1292BA13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B650F">
        <w:rPr>
          <w:rFonts w:cstheme="minorHAnsi"/>
        </w:rPr>
        <w:t xml:space="preserve">„Zmiany programu sygnalizacji świetlnej wymagające wykonanie dokumentacji projektowej oraz uzyskania niezbędnych opinii i zatwierdzeń – do 20 grup sygnalizacyjnych” </w:t>
      </w:r>
    </w:p>
    <w:p w14:paraId="21F934DC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B650F">
        <w:rPr>
          <w:rFonts w:cstheme="minorHAnsi"/>
        </w:rPr>
        <w:t xml:space="preserve">Zwracamy się z prośbą o potwierdzenie, że w kosztach pozycji 46 należy uwzględnić również rekonfigurację sterownika sygnalizacji świetlnej w Aplikacji nadrzędnej systemu ITS. </w:t>
      </w:r>
    </w:p>
    <w:p w14:paraId="706D9A1C" w14:textId="77777777" w:rsidR="004426A2" w:rsidRPr="0077239F" w:rsidRDefault="004426A2" w:rsidP="004426A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7BE1B3C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w kosztach pozycji 46 należy uwzględnić również rekonfigurację sterownika sygnalizacji świetlnej w Aplikacji nadrzędnej systemu ITS.</w:t>
      </w:r>
    </w:p>
    <w:p w14:paraId="13279867" w14:textId="77777777" w:rsidR="004426A2" w:rsidRPr="00DB650F" w:rsidRDefault="004426A2" w:rsidP="004426A2">
      <w:pPr>
        <w:spacing w:before="12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1.4</w:t>
      </w:r>
      <w:r w:rsidRPr="00884A37">
        <w:rPr>
          <w:rFonts w:cstheme="minorHAnsi"/>
        </w:rPr>
        <w:t>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47 </w:t>
      </w:r>
    </w:p>
    <w:p w14:paraId="710E6575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 xml:space="preserve">„Zmiany programu sygnalizacji świetlnej wymagające wykonanie dokumentacji projektowej oraz uzyskania niezbędnych opinii i zatwierdzeń – powyżej 20 grup sygnalizacyjnych” </w:t>
      </w:r>
    </w:p>
    <w:p w14:paraId="505722A1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 xml:space="preserve">Zwracamy się z prośbą o potwierdzenie, że w kosztach pozycji 47 należy uwzględnić również rekonfigurację sterownika sygnalizacji świetlnej w Aplikacji nadrzędnej systemu ITS. </w:t>
      </w:r>
    </w:p>
    <w:p w14:paraId="39D84E55" w14:textId="77777777" w:rsidR="004426A2" w:rsidRPr="0077239F" w:rsidRDefault="004426A2" w:rsidP="004426A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A41F689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w kosztach pozycji 47 należy uwzględnić również rekonfigurację sterownika sygnalizacji świetlnej w Aplikacji nadrzędnej systemu ITS.</w:t>
      </w:r>
    </w:p>
    <w:p w14:paraId="62AB7105" w14:textId="77777777" w:rsidR="004426A2" w:rsidRPr="00DB650F" w:rsidRDefault="004426A2" w:rsidP="004426A2">
      <w:pPr>
        <w:spacing w:before="12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1.5</w:t>
      </w:r>
      <w:r w:rsidRPr="00884A37">
        <w:rPr>
          <w:rFonts w:cstheme="minorHAnsi"/>
        </w:rPr>
        <w:t>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48 </w:t>
      </w:r>
    </w:p>
    <w:p w14:paraId="661BA5C1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 xml:space="preserve">„Wprowadzenie nowego projektu sygnalizacji świetlnej wraz z jej uruchomieniem oraz sprawdzeniem poprawności działania programu sygnalizacji – do 20 grup sygnalizacyjnych </w:t>
      </w:r>
    </w:p>
    <w:p w14:paraId="4DB2CE41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 xml:space="preserve">Zwracamy się z prośbą o potwierdzenie, że w kosztach pozycji 48 należy uwzględnić również konfigurację sterownika sygnalizacji świetlnej w Aplikacji nadrzędnej systemu ITS. </w:t>
      </w:r>
    </w:p>
    <w:p w14:paraId="5F9F7817" w14:textId="77777777" w:rsidR="004426A2" w:rsidRPr="0077239F" w:rsidRDefault="004426A2" w:rsidP="004426A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3CEFA74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w kosztach pozycji 48 należy uwzględnić również konfigurację sterownika sygnalizacji świetlnej w Aplikacji nadrzędnej systemu ITS.</w:t>
      </w:r>
    </w:p>
    <w:p w14:paraId="366ADD6D" w14:textId="77777777" w:rsidR="004426A2" w:rsidRPr="00DB650F" w:rsidRDefault="004426A2" w:rsidP="004426A2">
      <w:pPr>
        <w:spacing w:before="12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1.6</w:t>
      </w:r>
      <w:r w:rsidRPr="00884A37">
        <w:rPr>
          <w:rFonts w:cstheme="minorHAnsi"/>
        </w:rPr>
        <w:t>.</w:t>
      </w:r>
      <w:r>
        <w:rPr>
          <w:rFonts w:cstheme="minorHAnsi"/>
        </w:rPr>
        <w:tab/>
      </w:r>
      <w:r w:rsidRPr="00DB650F">
        <w:rPr>
          <w:rFonts w:cstheme="minorHAnsi"/>
        </w:rPr>
        <w:t xml:space="preserve">Dot. zał. 3 do </w:t>
      </w:r>
      <w:proofErr w:type="spellStart"/>
      <w:r w:rsidRPr="00DB650F">
        <w:rPr>
          <w:rFonts w:cstheme="minorHAnsi"/>
        </w:rPr>
        <w:t>SWZ_Wzór</w:t>
      </w:r>
      <w:proofErr w:type="spellEnd"/>
      <w:r w:rsidRPr="00DB650F">
        <w:rPr>
          <w:rFonts w:cstheme="minorHAnsi"/>
        </w:rPr>
        <w:t xml:space="preserve"> Wyceny Usługi 2023 poz. 49 </w:t>
      </w:r>
    </w:p>
    <w:p w14:paraId="3CBD7BA9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 xml:space="preserve">„Wprowadzenie nowego projektu sygnalizacji świetlnej wraz z jej uruchomieniem oraz sprawdzeniem poprawności działania programu sygnalizacji – ponad 20 grup sygnalizacyjnych” </w:t>
      </w:r>
    </w:p>
    <w:p w14:paraId="4C3DCCCC" w14:textId="77777777" w:rsidR="004426A2" w:rsidRPr="00DB650F" w:rsidRDefault="004426A2" w:rsidP="004426A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DB650F">
        <w:rPr>
          <w:rFonts w:cstheme="minorHAnsi"/>
        </w:rPr>
        <w:t>Zwracamy się z prośbą o potwierdzenie, że w kosztach pozycji 49 należy uwzględnić również konfigurację sterownika sygnalizacji świetlnej w Aplikacji nadrzędnej systemu ITS.</w:t>
      </w:r>
    </w:p>
    <w:p w14:paraId="79E6961B" w14:textId="77777777" w:rsidR="004426A2" w:rsidRPr="0077239F" w:rsidRDefault="004426A2" w:rsidP="004426A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E198E82" w14:textId="77777777" w:rsidR="004426A2" w:rsidRPr="00901069" w:rsidRDefault="004426A2" w:rsidP="004426A2">
      <w:pPr>
        <w:spacing w:after="0" w:line="240" w:lineRule="auto"/>
        <w:jc w:val="both"/>
        <w:rPr>
          <w:rFonts w:cstheme="minorHAnsi"/>
          <w:bCs/>
          <w:color w:val="0000CC"/>
        </w:rPr>
      </w:pPr>
      <w:r w:rsidRPr="00901069">
        <w:rPr>
          <w:rFonts w:cstheme="minorHAnsi"/>
          <w:bCs/>
          <w:color w:val="0000CC"/>
        </w:rPr>
        <w:t>Zamawiający potwierdza, że w kosztach pozycji 49 należy uwzględnić również konfigurację sterownika sygnalizacji świetlnej w Aplikacji nadrzędnej systemu ITS.</w:t>
      </w:r>
    </w:p>
    <w:bookmarkEnd w:id="3"/>
    <w:p w14:paraId="7EA12D0B" w14:textId="4FB33872" w:rsidR="004426A2" w:rsidRDefault="004426A2" w:rsidP="004426A2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  <w:bCs/>
          <w:iCs/>
        </w:rPr>
      </w:pPr>
    </w:p>
    <w:p w14:paraId="29894382" w14:textId="77777777" w:rsidR="00CC3243" w:rsidRPr="00143598" w:rsidRDefault="00CC3243" w:rsidP="004426A2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  <w:bCs/>
          <w:iCs/>
        </w:rPr>
      </w:pPr>
    </w:p>
    <w:p w14:paraId="0849EA86" w14:textId="77777777" w:rsidR="004426A2" w:rsidRDefault="004426A2" w:rsidP="004426A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Zgodnie z</w:t>
      </w:r>
      <w:r w:rsidRPr="005716B4">
        <w:rPr>
          <w:rFonts w:ascii="Calibri" w:hAnsi="Calibri" w:cs="Arial"/>
          <w:sz w:val="22"/>
          <w:szCs w:val="22"/>
        </w:rPr>
        <w:t xml:space="preserve"> art. </w:t>
      </w:r>
      <w:r>
        <w:rPr>
          <w:rFonts w:ascii="Calibri" w:hAnsi="Calibri" w:cs="Arial"/>
          <w:sz w:val="22"/>
          <w:szCs w:val="22"/>
        </w:rPr>
        <w:t>137</w:t>
      </w:r>
      <w:r w:rsidRPr="005716B4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F558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Zamawiający zmienia treść SWZ następująco:</w:t>
      </w:r>
    </w:p>
    <w:p w14:paraId="16B6BCF9" w14:textId="03C74F20" w:rsidR="004426A2" w:rsidRDefault="004426A2" w:rsidP="00E973BA">
      <w:pPr>
        <w:pStyle w:val="Tekstpodstawowy"/>
        <w:spacing w:before="120"/>
        <w:ind w:left="1134" w:hanging="709"/>
        <w:rPr>
          <w:rFonts w:ascii="Calibri" w:hAnsi="Calibri"/>
          <w:iCs/>
          <w:sz w:val="22"/>
          <w:szCs w:val="22"/>
        </w:rPr>
      </w:pPr>
      <w:r w:rsidRPr="005806A4">
        <w:rPr>
          <w:rFonts w:ascii="Calibri" w:hAnsi="Calibri"/>
          <w:iCs/>
          <w:sz w:val="22"/>
          <w:szCs w:val="22"/>
          <w:highlight w:val="yellow"/>
        </w:rPr>
        <w:t>Uwaga:</w:t>
      </w:r>
      <w:r w:rsidRPr="005806A4">
        <w:rPr>
          <w:rFonts w:ascii="Calibri" w:hAnsi="Calibri"/>
          <w:iCs/>
          <w:sz w:val="22"/>
          <w:szCs w:val="22"/>
          <w:highlight w:val="yellow"/>
        </w:rPr>
        <w:tab/>
        <w:t xml:space="preserve">zmiany treści SWZ wprowadzone przez Zamawiającego </w:t>
      </w:r>
      <w:r w:rsidR="00293F87">
        <w:rPr>
          <w:rFonts w:ascii="Calibri" w:hAnsi="Calibri"/>
          <w:iCs/>
          <w:sz w:val="22"/>
          <w:szCs w:val="22"/>
          <w:highlight w:val="yellow"/>
        </w:rPr>
        <w:t xml:space="preserve">w stosunku do tekstu pierwotnego </w:t>
      </w:r>
      <w:r w:rsidRPr="005806A4">
        <w:rPr>
          <w:rFonts w:ascii="Calibri" w:hAnsi="Calibri"/>
          <w:iCs/>
          <w:sz w:val="22"/>
          <w:szCs w:val="22"/>
          <w:highlight w:val="yellow"/>
        </w:rPr>
        <w:t>zaznaczono tłem koloru żółtego.</w:t>
      </w:r>
    </w:p>
    <w:p w14:paraId="7B7C48F6" w14:textId="258EA771" w:rsidR="004426A2" w:rsidRPr="00CC3243" w:rsidRDefault="004426A2" w:rsidP="00F86880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CC3243">
        <w:rPr>
          <w:rFonts w:ascii="Calibri" w:hAnsi="Calibri" w:cs="Calibri"/>
          <w:bCs/>
          <w:spacing w:val="-2"/>
          <w:sz w:val="22"/>
          <w:szCs w:val="22"/>
        </w:rPr>
        <w:t xml:space="preserve">w SWZ, w </w:t>
      </w:r>
      <w:r w:rsidRPr="00CC3243">
        <w:rPr>
          <w:rFonts w:ascii="Calibri" w:hAnsi="Calibri" w:cs="Calibri"/>
          <w:b/>
          <w:spacing w:val="-2"/>
          <w:sz w:val="22"/>
          <w:szCs w:val="22"/>
        </w:rPr>
        <w:t>pkt X</w:t>
      </w:r>
      <w:r w:rsidR="00F86880" w:rsidRPr="00CC3243">
        <w:rPr>
          <w:rFonts w:ascii="Calibri" w:hAnsi="Calibri" w:cs="Calibri"/>
          <w:b/>
          <w:spacing w:val="-2"/>
          <w:sz w:val="22"/>
          <w:szCs w:val="22"/>
        </w:rPr>
        <w:t>I</w:t>
      </w:r>
      <w:r w:rsidRPr="00CC3243">
        <w:rPr>
          <w:rFonts w:ascii="Calibri" w:hAnsi="Calibri" w:cs="Calibri"/>
          <w:b/>
          <w:spacing w:val="-2"/>
          <w:sz w:val="22"/>
          <w:szCs w:val="22"/>
        </w:rPr>
        <w:t>II.5.</w:t>
      </w:r>
      <w:r w:rsidRPr="00CC3243">
        <w:rPr>
          <w:rFonts w:ascii="Calibri" w:hAnsi="Calibri" w:cs="Calibri"/>
          <w:bCs/>
          <w:spacing w:val="-2"/>
          <w:sz w:val="22"/>
          <w:szCs w:val="22"/>
        </w:rPr>
        <w:t xml:space="preserve"> wprowadza się </w:t>
      </w:r>
      <w:r w:rsidRPr="00CC3243">
        <w:rPr>
          <w:rFonts w:ascii="Calibri" w:hAnsi="Calibri" w:cs="Calibri"/>
          <w:b/>
          <w:spacing w:val="-2"/>
          <w:sz w:val="22"/>
          <w:szCs w:val="22"/>
        </w:rPr>
        <w:t xml:space="preserve">pkt </w:t>
      </w:r>
      <w:r w:rsidR="00F86880" w:rsidRPr="00CC3243">
        <w:rPr>
          <w:rFonts w:ascii="Calibri" w:hAnsi="Calibri" w:cs="Calibri"/>
          <w:b/>
          <w:spacing w:val="-2"/>
          <w:sz w:val="22"/>
          <w:szCs w:val="22"/>
        </w:rPr>
        <w:t>8 i 9</w:t>
      </w:r>
      <w:r w:rsidRPr="00CC3243">
        <w:rPr>
          <w:rFonts w:ascii="Calibri" w:hAnsi="Calibri" w:cs="Calibri"/>
          <w:bCs/>
          <w:spacing w:val="-2"/>
          <w:sz w:val="22"/>
          <w:szCs w:val="22"/>
        </w:rPr>
        <w:t xml:space="preserve"> o brzmieniu:</w:t>
      </w:r>
    </w:p>
    <w:p w14:paraId="1A489151" w14:textId="0E812B7D" w:rsidR="00CC3243" w:rsidRDefault="00F86880" w:rsidP="00F86880">
      <w:pPr>
        <w:spacing w:after="0" w:line="240" w:lineRule="auto"/>
        <w:ind w:left="851" w:hanging="425"/>
        <w:jc w:val="both"/>
        <w:rPr>
          <w:rFonts w:cstheme="minorHAnsi"/>
          <w:highlight w:val="yellow"/>
        </w:rPr>
      </w:pPr>
      <w:r w:rsidRPr="00CC3243">
        <w:rPr>
          <w:rFonts w:cstheme="minorHAnsi"/>
          <w:highlight w:val="yellow"/>
        </w:rPr>
        <w:t>„</w:t>
      </w:r>
      <w:r w:rsidRPr="00CC3243">
        <w:rPr>
          <w:rFonts w:cstheme="minorHAnsi"/>
          <w:highlight w:val="yellow"/>
        </w:rPr>
        <w:t>8)</w:t>
      </w:r>
      <w:r w:rsidRPr="00CC3243">
        <w:rPr>
          <w:rFonts w:cstheme="minorHAnsi"/>
          <w:highlight w:val="yellow"/>
        </w:rPr>
        <w:tab/>
        <w:t>dwukrotny wzrost minimalnego wynagrodzenia w 2023 roku</w:t>
      </w:r>
      <w:r w:rsidR="00CC3243">
        <w:rPr>
          <w:rFonts w:cstheme="minorHAnsi"/>
          <w:highlight w:val="yellow"/>
        </w:rPr>
        <w:t>,</w:t>
      </w:r>
      <w:r w:rsidRPr="00CC3243">
        <w:rPr>
          <w:rFonts w:cstheme="minorHAnsi"/>
          <w:highlight w:val="yellow"/>
        </w:rPr>
        <w:t xml:space="preserve"> </w:t>
      </w:r>
    </w:p>
    <w:p w14:paraId="7727ED45" w14:textId="0D3977A7" w:rsidR="00F86880" w:rsidRPr="00CC3243" w:rsidRDefault="00293F87" w:rsidP="00293F87">
      <w:pPr>
        <w:spacing w:before="120" w:after="120" w:line="240" w:lineRule="auto"/>
        <w:ind w:left="851"/>
        <w:jc w:val="both"/>
        <w:rPr>
          <w:rFonts w:cstheme="minorHAnsi"/>
        </w:rPr>
      </w:pPr>
      <w:r>
        <w:rPr>
          <w:rFonts w:cstheme="minorHAnsi"/>
          <w:i/>
          <w:iCs/>
        </w:rPr>
        <w:t>Z</w:t>
      </w:r>
      <w:r w:rsidRPr="00CC3243">
        <w:rPr>
          <w:rFonts w:cstheme="minorHAnsi"/>
          <w:i/>
          <w:iCs/>
        </w:rPr>
        <w:t>amówienie</w:t>
      </w:r>
      <w:r w:rsidR="00F86880" w:rsidRPr="00CC3243">
        <w:rPr>
          <w:rFonts w:cstheme="minorHAnsi"/>
          <w:i/>
          <w:iCs/>
        </w:rPr>
        <w:t xml:space="preserve"> realizowane będzie wyłącznie przez 2023 rok. Powszechnie i formalnie znana jest kwota minimalnego wynagrodzenia, obowiązującego od 01 stycznia i 01 lipca 2023 roku. Kierując się terminem rozstrzygnięcia przetargu i zawarcia umowy,  Zamawiający propon</w:t>
      </w:r>
      <w:r w:rsidR="00F86880" w:rsidRPr="00CC3243">
        <w:rPr>
          <w:rFonts w:cstheme="minorHAnsi"/>
          <w:i/>
          <w:iCs/>
        </w:rPr>
        <w:t>uje</w:t>
      </w:r>
      <w:r w:rsidR="00F86880" w:rsidRPr="00CC3243">
        <w:rPr>
          <w:rFonts w:cstheme="minorHAnsi"/>
          <w:i/>
          <w:iCs/>
        </w:rPr>
        <w:t>, aby cena ofertowa uwzględniała tą okoliczność, bez potrzeby dwukrotnego waloryzowania wynagrodzenia umownego, weryfikacji wniosku i dokumentacji potwierdzającej rzeczywisty wpływ zmiany minimalnego  wynagrodzenia na zaoferowane wynagrodzenie. W ocenie Zamawiającego, skutek przyjętego rozwiązania oznacza zastosowanie waloryzacji i w żaden sposób nie pozbawia wykonawców uwzględnienia wzrostu minimalnego wynagrodzenia, co jest istotą regulacji Prawa zamówień publicznych w tym zakresie</w:t>
      </w:r>
      <w:r>
        <w:rPr>
          <w:rFonts w:cstheme="minorHAnsi"/>
          <w:i/>
          <w:iCs/>
        </w:rPr>
        <w:t>.</w:t>
      </w:r>
    </w:p>
    <w:p w14:paraId="51C67969" w14:textId="10722A0A" w:rsidR="00F86880" w:rsidRPr="00F86880" w:rsidRDefault="00F86880" w:rsidP="00F86880">
      <w:pPr>
        <w:spacing w:after="0" w:line="240" w:lineRule="auto"/>
        <w:ind w:left="851" w:hanging="425"/>
        <w:jc w:val="both"/>
        <w:rPr>
          <w:rFonts w:cstheme="minorHAnsi"/>
        </w:rPr>
      </w:pPr>
      <w:r w:rsidRPr="00CC3243">
        <w:rPr>
          <w:rFonts w:cstheme="minorHAnsi"/>
          <w:highlight w:val="yellow"/>
        </w:rPr>
        <w:t xml:space="preserve">  </w:t>
      </w:r>
      <w:r w:rsidRPr="00CC3243">
        <w:rPr>
          <w:rFonts w:cstheme="minorHAnsi"/>
          <w:highlight w:val="yellow"/>
        </w:rPr>
        <w:t>9)</w:t>
      </w:r>
      <w:r w:rsidRPr="00CC3243">
        <w:rPr>
          <w:rFonts w:cstheme="minorHAnsi"/>
          <w:highlight w:val="yellow"/>
        </w:rPr>
        <w:tab/>
        <w:t>Wykonawca zobowiązany jest w swojej wycenie uwzględnić powrót od 01 stycznia 2023 r. 23% stawki VAT na gaz, paliwo, ciepło i prąd.</w:t>
      </w:r>
      <w:r w:rsidRPr="00CC3243">
        <w:rPr>
          <w:rFonts w:cstheme="minorHAnsi"/>
          <w:highlight w:val="yellow"/>
        </w:rPr>
        <w:t>”</w:t>
      </w:r>
    </w:p>
    <w:p w14:paraId="2702A916" w14:textId="77777777" w:rsidR="004426A2" w:rsidRPr="00E563D9" w:rsidRDefault="004426A2" w:rsidP="00F86880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Cs/>
          <w:spacing w:val="-2"/>
          <w:sz w:val="22"/>
          <w:szCs w:val="22"/>
        </w:rPr>
        <w:t xml:space="preserve">w załączniku Nr 1 do SWZ -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wzorze Umowy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§ 20 ust. 1 pkt 5 </w:t>
      </w:r>
      <w:r w:rsidRPr="008B71FC">
        <w:rPr>
          <w:rFonts w:ascii="Calibri" w:hAnsi="Calibri" w:cs="Calibri"/>
          <w:bCs/>
          <w:spacing w:val="-2"/>
          <w:sz w:val="22"/>
          <w:szCs w:val="22"/>
        </w:rPr>
        <w:t>otrzymuje brzmienie</w:t>
      </w:r>
      <w:r w:rsidRPr="00E563D9">
        <w:rPr>
          <w:rFonts w:ascii="Calibri" w:hAnsi="Calibri" w:cs="Calibri"/>
          <w:bCs/>
          <w:spacing w:val="-2"/>
          <w:sz w:val="22"/>
          <w:szCs w:val="22"/>
        </w:rPr>
        <w:t>:</w:t>
      </w:r>
    </w:p>
    <w:p w14:paraId="2C1D8118" w14:textId="77777777" w:rsidR="004426A2" w:rsidRPr="008B71FC" w:rsidRDefault="004426A2" w:rsidP="004426A2">
      <w:pPr>
        <w:spacing w:after="0" w:line="240" w:lineRule="auto"/>
        <w:ind w:left="1134" w:hanging="425"/>
        <w:jc w:val="both"/>
        <w:rPr>
          <w:rFonts w:cstheme="minorHAnsi"/>
          <w:bCs/>
        </w:rPr>
      </w:pPr>
      <w:r w:rsidRPr="008B71FC">
        <w:rPr>
          <w:rFonts w:cstheme="minorHAnsi"/>
          <w:bCs/>
        </w:rPr>
        <w:t>„5)</w:t>
      </w:r>
      <w:r w:rsidRPr="008B71FC">
        <w:rPr>
          <w:rFonts w:cstheme="minorHAnsi"/>
          <w:bCs/>
        </w:rPr>
        <w:tab/>
        <w:t xml:space="preserve">wzrost inflacji według wskaźników Prezesa GUS </w:t>
      </w:r>
      <w:r w:rsidRPr="008B71FC">
        <w:rPr>
          <w:rFonts w:cstheme="minorHAnsi"/>
          <w:bCs/>
          <w:highlight w:val="yellow"/>
        </w:rPr>
        <w:t>o zwyżkę</w:t>
      </w:r>
      <w:r w:rsidRPr="008B71FC">
        <w:rPr>
          <w:rFonts w:cstheme="minorHAnsi"/>
          <w:bCs/>
        </w:rPr>
        <w:t xml:space="preserve"> powyżej 15 % w stosunku do poziomu inflacji w dniu składania ofert; początkowy termin ustalenia zmiany wynagrodzenia ustala się od następnego miesiąca po miesiącu ogłoszenia wzrostu inflacji powyżej 15 %.” </w:t>
      </w:r>
    </w:p>
    <w:p w14:paraId="02EE2FDE" w14:textId="77777777" w:rsidR="004426A2" w:rsidRPr="00E563D9" w:rsidRDefault="004426A2" w:rsidP="00F86880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Cs/>
          <w:spacing w:val="-2"/>
          <w:sz w:val="22"/>
          <w:szCs w:val="22"/>
        </w:rPr>
        <w:t xml:space="preserve">w załączniku Nr 1 do SWZ -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wzorze Umowy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§ 20 ust. 4 </w:t>
      </w:r>
      <w:r w:rsidRPr="008B71FC">
        <w:rPr>
          <w:rFonts w:ascii="Calibri" w:hAnsi="Calibri" w:cs="Calibri"/>
          <w:bCs/>
          <w:spacing w:val="-2"/>
          <w:sz w:val="22"/>
          <w:szCs w:val="22"/>
        </w:rPr>
        <w:t>otrzymuje brzmienie</w:t>
      </w:r>
      <w:r w:rsidRPr="00E563D9">
        <w:rPr>
          <w:rFonts w:ascii="Calibri" w:hAnsi="Calibri" w:cs="Calibri"/>
          <w:bCs/>
          <w:spacing w:val="-2"/>
          <w:sz w:val="22"/>
          <w:szCs w:val="22"/>
        </w:rPr>
        <w:t>::</w:t>
      </w:r>
    </w:p>
    <w:p w14:paraId="06AF0954" w14:textId="77777777" w:rsidR="004426A2" w:rsidRPr="002C31B5" w:rsidRDefault="004426A2" w:rsidP="004426A2">
      <w:pPr>
        <w:spacing w:after="0" w:line="240" w:lineRule="auto"/>
        <w:ind w:left="1134" w:hanging="425"/>
        <w:jc w:val="both"/>
        <w:rPr>
          <w:rFonts w:cstheme="minorHAnsi"/>
          <w:bCs/>
        </w:rPr>
      </w:pPr>
      <w:r w:rsidRPr="002C31B5">
        <w:rPr>
          <w:rFonts w:cstheme="minorHAnsi"/>
          <w:bCs/>
        </w:rPr>
        <w:t>„4.</w:t>
      </w:r>
      <w:r w:rsidRPr="002C31B5">
        <w:rPr>
          <w:rFonts w:cstheme="minorHAnsi"/>
          <w:bCs/>
        </w:rPr>
        <w:tab/>
        <w:t xml:space="preserve">W sytuacji wzrostu inflacji powyżej 15%, w stosunku do poziomu inflacji z dnia składania oferty, Wykonawca jest uprawniony złożyć Zamawiającemu pisemny wniosek o zmianę </w:t>
      </w:r>
      <w:r w:rsidRPr="002C31B5">
        <w:rPr>
          <w:rFonts w:cstheme="minorHAnsi"/>
          <w:bCs/>
          <w:spacing w:val="-2"/>
        </w:rPr>
        <w:t xml:space="preserve">wynagrodzenia </w:t>
      </w:r>
      <w:r w:rsidRPr="002C31B5">
        <w:rPr>
          <w:rFonts w:cstheme="minorHAnsi"/>
          <w:bCs/>
          <w:spacing w:val="-2"/>
          <w:highlight w:val="yellow"/>
        </w:rPr>
        <w:t>o wartość nadwyżki ponad 15%</w:t>
      </w:r>
      <w:r w:rsidRPr="002C31B5">
        <w:rPr>
          <w:rFonts w:cstheme="minorHAnsi"/>
          <w:bCs/>
          <w:spacing w:val="-2"/>
        </w:rPr>
        <w:t>. Wniosek powinien zawierać uzasadnienie</w:t>
      </w:r>
      <w:r w:rsidRPr="002C31B5">
        <w:rPr>
          <w:rFonts w:cstheme="minorHAnsi"/>
          <w:bCs/>
        </w:rPr>
        <w:t xml:space="preserve">, podstawę zmiany oraz wyliczenie kwoty wynagrodzenia Wykonawcy po zmianie.” </w:t>
      </w:r>
    </w:p>
    <w:p w14:paraId="7E833AF4" w14:textId="0B79AE63" w:rsidR="00293F87" w:rsidRDefault="004426A2" w:rsidP="00CC3243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Arial"/>
        </w:rPr>
      </w:pPr>
      <w:r w:rsidRPr="00CC3243">
        <w:rPr>
          <w:rFonts w:ascii="Calibri" w:hAnsi="Calibri" w:cs="Arial"/>
        </w:rPr>
        <w:t xml:space="preserve">Zamawiający nie przekazuje ujednoliconej treści SWZ </w:t>
      </w:r>
      <w:r w:rsidR="00CC3243">
        <w:rPr>
          <w:rFonts w:ascii="Calibri" w:hAnsi="Calibri" w:cs="Arial"/>
        </w:rPr>
        <w:t xml:space="preserve">ani </w:t>
      </w:r>
      <w:r w:rsidRPr="00CC3243">
        <w:rPr>
          <w:rFonts w:ascii="Calibri" w:hAnsi="Calibri" w:cs="Arial"/>
        </w:rPr>
        <w:t>ujednolicon</w:t>
      </w:r>
      <w:r w:rsidR="00CC3243">
        <w:rPr>
          <w:rFonts w:ascii="Calibri" w:hAnsi="Calibri" w:cs="Arial"/>
        </w:rPr>
        <w:t xml:space="preserve">ego </w:t>
      </w:r>
      <w:r w:rsidRPr="00CC3243">
        <w:rPr>
          <w:rFonts w:ascii="Calibri" w:hAnsi="Calibri" w:cs="Arial"/>
        </w:rPr>
        <w:t>wz</w:t>
      </w:r>
      <w:r w:rsidR="00CC3243">
        <w:rPr>
          <w:rFonts w:ascii="Calibri" w:hAnsi="Calibri" w:cs="Arial"/>
        </w:rPr>
        <w:t>oru U</w:t>
      </w:r>
      <w:r w:rsidRPr="00CC3243">
        <w:rPr>
          <w:rFonts w:ascii="Calibri" w:hAnsi="Calibri" w:cs="Arial"/>
        </w:rPr>
        <w:t>mowy – załączniki 1 do SWZ</w:t>
      </w:r>
      <w:r w:rsidR="00CC3243">
        <w:rPr>
          <w:rFonts w:ascii="Calibri" w:hAnsi="Calibri" w:cs="Arial"/>
        </w:rPr>
        <w:t>.</w:t>
      </w:r>
      <w:r w:rsidR="00293F87">
        <w:rPr>
          <w:rFonts w:ascii="Calibri" w:hAnsi="Calibri" w:cs="Arial"/>
        </w:rPr>
        <w:t xml:space="preserve"> Ujednolicenie treści zawieranej Umowy nastąpi po wyborze najkorzystniejszej oferty </w:t>
      </w:r>
      <w:r w:rsidR="00293F87">
        <w:rPr>
          <w:rFonts w:ascii="Calibri" w:hAnsi="Calibri" w:cs="Arial"/>
        </w:rPr>
        <w:br/>
        <w:t>i uprawomocnieniu się wyniku postępowania.</w:t>
      </w:r>
    </w:p>
    <w:p w14:paraId="2ED55E24" w14:textId="63539C3F" w:rsidR="00293F87" w:rsidRPr="0003346C" w:rsidRDefault="00293F87" w:rsidP="00293F87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93F87">
        <w:rPr>
          <w:rFonts w:asciiTheme="minorHAnsi" w:hAnsiTheme="minorHAnsi" w:cstheme="minorHAnsi"/>
          <w:sz w:val="22"/>
          <w:szCs w:val="22"/>
        </w:rPr>
        <w:lastRenderedPageBreak/>
        <w:t xml:space="preserve">ZMIANA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93F87">
        <w:rPr>
          <w:rFonts w:asciiTheme="minorHAnsi" w:hAnsiTheme="minorHAnsi" w:cstheme="minorHAnsi"/>
          <w:sz w:val="22"/>
          <w:szCs w:val="22"/>
        </w:rPr>
        <w:t xml:space="preserve"> treści SWZ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49ED">
        <w:rPr>
          <w:rFonts w:asciiTheme="minorHAnsi" w:hAnsiTheme="minorHAnsi" w:cstheme="minorHAnsi"/>
          <w:sz w:val="22"/>
          <w:szCs w:val="22"/>
        </w:rPr>
        <w:t xml:space="preserve">nie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A894C57" w14:textId="6809FF86" w:rsidR="00293F87" w:rsidRDefault="00293F87" w:rsidP="00293F87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629CAE97" w14:textId="77777777" w:rsidR="007D3771" w:rsidRPr="0003346C" w:rsidRDefault="007D3771" w:rsidP="00293F87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759AEFEF" w14:textId="77777777" w:rsidR="00293F87" w:rsidRPr="00293F87" w:rsidRDefault="004426A2" w:rsidP="004426A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93F87">
        <w:rPr>
          <w:rFonts w:asciiTheme="minorHAnsi" w:hAnsiTheme="minorHAnsi" w:cstheme="minorHAnsi"/>
          <w:sz w:val="22"/>
          <w:szCs w:val="22"/>
        </w:rPr>
        <w:t xml:space="preserve">ZMIANA Nr </w:t>
      </w:r>
      <w:r w:rsidR="00293F87">
        <w:rPr>
          <w:rFonts w:asciiTheme="minorHAnsi" w:hAnsiTheme="minorHAnsi" w:cstheme="minorHAnsi"/>
          <w:sz w:val="22"/>
          <w:szCs w:val="22"/>
        </w:rPr>
        <w:t>1</w:t>
      </w:r>
      <w:r w:rsidRPr="00293F87">
        <w:rPr>
          <w:rFonts w:asciiTheme="minorHAnsi" w:hAnsiTheme="minorHAnsi" w:cstheme="minorHAnsi"/>
          <w:sz w:val="22"/>
          <w:szCs w:val="22"/>
        </w:rPr>
        <w:t xml:space="preserve"> treści SWZ nie wymaga</w:t>
      </w:r>
      <w:r w:rsidRPr="00473FAD">
        <w:rPr>
          <w:rFonts w:asciiTheme="minorHAnsi" w:hAnsiTheme="minorHAnsi" w:cstheme="minorHAnsi"/>
          <w:sz w:val="22"/>
          <w:szCs w:val="22"/>
        </w:rPr>
        <w:t xml:space="preserve"> </w:t>
      </w:r>
      <w:r w:rsidR="00293F87">
        <w:rPr>
          <w:rFonts w:asciiTheme="minorHAnsi" w:hAnsiTheme="minorHAnsi" w:cstheme="minorHAnsi"/>
          <w:sz w:val="22"/>
          <w:szCs w:val="22"/>
        </w:rPr>
        <w:t xml:space="preserve">od wykonawców </w:t>
      </w:r>
      <w:r w:rsidRPr="00473FAD">
        <w:rPr>
          <w:rFonts w:asciiTheme="minorHAnsi" w:hAnsiTheme="minorHAnsi" w:cstheme="minorHAnsi"/>
          <w:sz w:val="22"/>
          <w:szCs w:val="22"/>
        </w:rPr>
        <w:t xml:space="preserve">dodatkowego czasu na zapoznanie się z </w:t>
      </w:r>
      <w:r w:rsidR="00293F87">
        <w:rPr>
          <w:rFonts w:asciiTheme="minorHAnsi" w:hAnsiTheme="minorHAnsi" w:cstheme="minorHAnsi"/>
          <w:sz w:val="22"/>
          <w:szCs w:val="22"/>
        </w:rPr>
        <w:t>jej</w:t>
      </w:r>
      <w:r w:rsidRPr="00473FAD">
        <w:rPr>
          <w:rFonts w:asciiTheme="minorHAnsi" w:hAnsiTheme="minorHAnsi" w:cstheme="minorHAnsi"/>
          <w:sz w:val="22"/>
          <w:szCs w:val="22"/>
        </w:rPr>
        <w:t xml:space="preserve"> treścią i należyte przygotowanie i złożenie ofert, w związku</w:t>
      </w:r>
      <w:r w:rsidRPr="00F5589B">
        <w:rPr>
          <w:rFonts w:asciiTheme="minorHAnsi" w:hAnsiTheme="minorHAnsi" w:cstheme="minorHAnsi"/>
          <w:sz w:val="22"/>
          <w:szCs w:val="22"/>
        </w:rPr>
        <w:t xml:space="preserve"> z tym, </w:t>
      </w:r>
      <w:r w:rsidRPr="00653840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49ED">
        <w:rPr>
          <w:rFonts w:asciiTheme="minorHAnsi" w:hAnsiTheme="minorHAnsi" w:cstheme="minorHAnsi"/>
          <w:b/>
          <w:bCs/>
          <w:sz w:val="22"/>
          <w:szCs w:val="22"/>
        </w:rPr>
        <w:t>nie przedłuża</w:t>
      </w:r>
      <w:r w:rsidRPr="00653840">
        <w:rPr>
          <w:rFonts w:asciiTheme="minorHAnsi" w:hAnsiTheme="minorHAnsi" w:cstheme="minorHAnsi"/>
          <w:b/>
          <w:sz w:val="22"/>
          <w:szCs w:val="22"/>
        </w:rPr>
        <w:t xml:space="preserve"> terminu składnia ofert</w:t>
      </w:r>
      <w:r w:rsidR="00293F87">
        <w:rPr>
          <w:rFonts w:asciiTheme="minorHAnsi" w:hAnsiTheme="minorHAnsi" w:cstheme="minorHAnsi"/>
          <w:b/>
          <w:sz w:val="22"/>
          <w:szCs w:val="22"/>
        </w:rPr>
        <w:t>.</w:t>
      </w:r>
    </w:p>
    <w:p w14:paraId="53F3A3F3" w14:textId="2FE2BAD0" w:rsidR="00293F87" w:rsidRDefault="00293F87" w:rsidP="00293F87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28257CE1" w14:textId="77777777" w:rsidR="007D3771" w:rsidRPr="00293F87" w:rsidRDefault="007D3771" w:rsidP="00293F87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5D585231" w14:textId="021AA9AD" w:rsidR="004426A2" w:rsidRDefault="004426A2" w:rsidP="004426A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348870"/>
      <w:r w:rsidRPr="00293F87">
        <w:rPr>
          <w:rFonts w:asciiTheme="minorHAnsi" w:hAnsiTheme="minorHAnsi" w:cstheme="minorHAnsi"/>
          <w:sz w:val="22"/>
          <w:szCs w:val="22"/>
        </w:rPr>
        <w:t xml:space="preserve">Wyjaśnienia i ZMIANA Nr </w:t>
      </w:r>
      <w:r w:rsidR="007D3771">
        <w:rPr>
          <w:rFonts w:asciiTheme="minorHAnsi" w:hAnsiTheme="minorHAnsi" w:cstheme="minorHAnsi"/>
          <w:sz w:val="22"/>
          <w:szCs w:val="22"/>
        </w:rPr>
        <w:t>1</w:t>
      </w:r>
      <w:r w:rsidRPr="00293F87">
        <w:rPr>
          <w:rFonts w:asciiTheme="minorHAnsi" w:hAnsiTheme="minorHAnsi" w:cstheme="minorHAnsi"/>
          <w:sz w:val="22"/>
          <w:szCs w:val="22"/>
        </w:rPr>
        <w:t xml:space="preserve"> treści SWZ stają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obowiązujące dla wszystkich Wykonawców ubiegających się o udzielenie przedmiotowego zamówienia z dniem ich udostępnienia na stronie internetowej prowadzonego postępowania (</w:t>
      </w:r>
      <w:r w:rsidRPr="00AE40C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7D3771">
        <w:rPr>
          <w:rFonts w:asciiTheme="minorHAnsi" w:hAnsiTheme="minorHAnsi" w:cstheme="minorHAnsi"/>
          <w:b/>
          <w:bCs/>
          <w:iCs/>
          <w:sz w:val="22"/>
          <w:szCs w:val="22"/>
        </w:rPr>
        <w:t>702659</w:t>
      </w:r>
      <w:r w:rsidRPr="000F6E59">
        <w:rPr>
          <w:rFonts w:asciiTheme="minorHAnsi" w:hAnsiTheme="minorHAnsi" w:cstheme="minorHAnsi"/>
          <w:sz w:val="22"/>
          <w:szCs w:val="22"/>
        </w:rPr>
        <w:t>).</w:t>
      </w:r>
    </w:p>
    <w:p w14:paraId="20560DB3" w14:textId="504407ED" w:rsidR="004426A2" w:rsidRDefault="004426A2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CF0E08B" w14:textId="77777777" w:rsidR="007D3771" w:rsidRDefault="007D3771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01D4E7D" w14:textId="77777777" w:rsidR="007D3771" w:rsidRPr="007D3771" w:rsidRDefault="007D3771" w:rsidP="0042575A">
      <w:pPr>
        <w:spacing w:after="0" w:line="240" w:lineRule="auto"/>
        <w:ind w:left="4536" w:right="-1"/>
        <w:jc w:val="center"/>
        <w:rPr>
          <w:rFonts w:cs="Calibri"/>
        </w:rPr>
      </w:pPr>
      <w:r w:rsidRPr="007D3771">
        <w:rPr>
          <w:rFonts w:cs="Calibri"/>
        </w:rPr>
        <w:t xml:space="preserve">p.o. DYREKTORA </w:t>
      </w:r>
    </w:p>
    <w:p w14:paraId="1F58C663" w14:textId="77777777" w:rsidR="007D3771" w:rsidRPr="007D3771" w:rsidRDefault="007D3771" w:rsidP="007D3771">
      <w:pPr>
        <w:spacing w:before="120" w:after="120" w:line="240" w:lineRule="auto"/>
        <w:ind w:left="4536"/>
        <w:jc w:val="center"/>
        <w:rPr>
          <w:rFonts w:cs="Calibri"/>
        </w:rPr>
      </w:pPr>
      <w:r w:rsidRPr="007D3771">
        <w:rPr>
          <w:rFonts w:cs="Calibri"/>
        </w:rPr>
        <w:t>podpis nieczytelny</w:t>
      </w:r>
    </w:p>
    <w:p w14:paraId="2BBF878D" w14:textId="77777777" w:rsidR="007D3771" w:rsidRPr="007D3771" w:rsidRDefault="007D3771" w:rsidP="007D3771">
      <w:pPr>
        <w:pBdr>
          <w:bottom w:val="dotted" w:sz="4" w:space="1" w:color="auto"/>
        </w:pBdr>
        <w:tabs>
          <w:tab w:val="left" w:pos="5387"/>
        </w:tabs>
        <w:spacing w:after="0" w:line="240" w:lineRule="auto"/>
        <w:ind w:left="5387" w:right="850"/>
        <w:jc w:val="center"/>
        <w:rPr>
          <w:rFonts w:cs="Calibri"/>
        </w:rPr>
      </w:pPr>
      <w:r w:rsidRPr="007D3771">
        <w:rPr>
          <w:rFonts w:cs="Calibri"/>
        </w:rPr>
        <w:t>Wojciech Nalazek</w:t>
      </w:r>
    </w:p>
    <w:p w14:paraId="79C9B016" w14:textId="1FE31F59" w:rsidR="007D3771" w:rsidRPr="007D3771" w:rsidRDefault="007D3771" w:rsidP="007D3771">
      <w:pPr>
        <w:spacing w:after="0" w:line="240" w:lineRule="auto"/>
        <w:ind w:left="4678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  <w:r w:rsidRPr="007D3771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  <w:bookmarkEnd w:id="1"/>
      <w:bookmarkEnd w:id="4"/>
    </w:p>
    <w:sectPr w:rsidR="007D3771" w:rsidRPr="007D3771" w:rsidSect="00434F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A0DF" w14:textId="77777777" w:rsidR="00F254F0" w:rsidRDefault="00F254F0" w:rsidP="0033686C">
      <w:pPr>
        <w:spacing w:after="0" w:line="240" w:lineRule="auto"/>
      </w:pPr>
      <w:r>
        <w:separator/>
      </w:r>
    </w:p>
  </w:endnote>
  <w:endnote w:type="continuationSeparator" w:id="0">
    <w:p w14:paraId="1773F11D" w14:textId="77777777" w:rsidR="00F254F0" w:rsidRDefault="00F254F0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41638"/>
      <w:docPartObj>
        <w:docPartGallery w:val="Page Numbers (Bottom of Page)"/>
        <w:docPartUnique/>
      </w:docPartObj>
    </w:sdtPr>
    <w:sdtContent>
      <w:p w14:paraId="4F632C1C" w14:textId="6900E602" w:rsidR="00293F87" w:rsidRDefault="0029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EF60" w14:textId="77777777" w:rsidR="00293F87" w:rsidRDefault="0029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0AF0" w14:textId="77777777" w:rsidR="00F254F0" w:rsidRDefault="00F254F0" w:rsidP="0033686C">
      <w:pPr>
        <w:spacing w:after="0" w:line="240" w:lineRule="auto"/>
      </w:pPr>
      <w:r>
        <w:separator/>
      </w:r>
    </w:p>
  </w:footnote>
  <w:footnote w:type="continuationSeparator" w:id="0">
    <w:p w14:paraId="64119ACF" w14:textId="77777777" w:rsidR="00F254F0" w:rsidRDefault="00F254F0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37B6"/>
    <w:multiLevelType w:val="hybridMultilevel"/>
    <w:tmpl w:val="3B7A39E4"/>
    <w:lvl w:ilvl="0" w:tplc="4C62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021"/>
    <w:multiLevelType w:val="hybridMultilevel"/>
    <w:tmpl w:val="FDBC9DA6"/>
    <w:lvl w:ilvl="0" w:tplc="DC7AB6C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CA58D6"/>
    <w:multiLevelType w:val="hybridMultilevel"/>
    <w:tmpl w:val="D0B2CF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49738395">
    <w:abstractNumId w:val="0"/>
  </w:num>
  <w:num w:numId="2" w16cid:durableId="406615007">
    <w:abstractNumId w:val="4"/>
  </w:num>
  <w:num w:numId="3" w16cid:durableId="293340123">
    <w:abstractNumId w:val="1"/>
  </w:num>
  <w:num w:numId="4" w16cid:durableId="517544815">
    <w:abstractNumId w:val="5"/>
  </w:num>
  <w:num w:numId="5" w16cid:durableId="466898873">
    <w:abstractNumId w:val="7"/>
  </w:num>
  <w:num w:numId="6" w16cid:durableId="1243873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20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23">
    <w:abstractNumId w:val="8"/>
  </w:num>
  <w:num w:numId="9" w16cid:durableId="1566067527">
    <w:abstractNumId w:val="9"/>
  </w:num>
  <w:num w:numId="10" w16cid:durableId="551386885">
    <w:abstractNumId w:val="10"/>
  </w:num>
  <w:num w:numId="11" w16cid:durableId="20988635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20614C"/>
    <w:rsid w:val="00293F87"/>
    <w:rsid w:val="002F6235"/>
    <w:rsid w:val="0033686C"/>
    <w:rsid w:val="0042575A"/>
    <w:rsid w:val="00434F5E"/>
    <w:rsid w:val="00436340"/>
    <w:rsid w:val="004426A2"/>
    <w:rsid w:val="006E0041"/>
    <w:rsid w:val="007307A5"/>
    <w:rsid w:val="007C6C65"/>
    <w:rsid w:val="007D3771"/>
    <w:rsid w:val="009B010C"/>
    <w:rsid w:val="00AB5134"/>
    <w:rsid w:val="00B61B9E"/>
    <w:rsid w:val="00CC3243"/>
    <w:rsid w:val="00D35C1F"/>
    <w:rsid w:val="00DA3CCB"/>
    <w:rsid w:val="00E973BA"/>
    <w:rsid w:val="00F254F0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4426A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4426A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42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42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5</cp:revision>
  <cp:lastPrinted>2023-01-02T11:38:00Z</cp:lastPrinted>
  <dcterms:created xsi:type="dcterms:W3CDTF">2023-01-02T09:48:00Z</dcterms:created>
  <dcterms:modified xsi:type="dcterms:W3CDTF">2023-01-02T11:38:00Z</dcterms:modified>
</cp:coreProperties>
</file>