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DA6B1D">
            <w:pPr>
              <w:rPr>
                <w:rFonts w:cs="Times New Roman"/>
                <w:b/>
                <w:sz w:val="21"/>
                <w:szCs w:val="21"/>
              </w:rPr>
            </w:pPr>
            <w:bookmarkStart w:id="0" w:name="_Hlk12607021"/>
            <w:r w:rsidRPr="00483ED3">
              <w:rPr>
                <w:rFonts w:cs="Times New Roman"/>
                <w:b/>
                <w:sz w:val="21"/>
                <w:szCs w:val="21"/>
              </w:rPr>
              <w:t>ZP/220/</w:t>
            </w:r>
            <w:r w:rsidR="00DA6B1D">
              <w:rPr>
                <w:rFonts w:cs="Times New Roman"/>
                <w:b/>
                <w:sz w:val="21"/>
                <w:szCs w:val="21"/>
              </w:rPr>
              <w:t>34</w:t>
            </w:r>
            <w:r w:rsidR="00CB7275" w:rsidRPr="00483ED3">
              <w:rPr>
                <w:rFonts w:cs="Times New Roman"/>
                <w:b/>
                <w:sz w:val="21"/>
                <w:szCs w:val="21"/>
              </w:rPr>
              <w:t>/</w:t>
            </w:r>
            <w:r w:rsidR="00A711D1" w:rsidRPr="00483ED3">
              <w:rPr>
                <w:rFonts w:cs="Times New Roman"/>
                <w:b/>
                <w:sz w:val="21"/>
                <w:szCs w:val="21"/>
              </w:rPr>
              <w:t>2</w:t>
            </w:r>
            <w:r w:rsidR="00F079C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DA6B1D"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 uruchomienie aparatu RTG z ramieniem C wraz z kompatybilnym stołem z pływającym blatem w pełni przeziernym oraz automatycznym wstrzykiwaczem kontrastu</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EA198E">
        <w:rPr>
          <w:rFonts w:cs="Times New Roman"/>
          <w:b/>
          <w:sz w:val="28"/>
          <w:szCs w:val="28"/>
        </w:rPr>
        <w:t xml:space="preserve"> ORAZ</w:t>
      </w:r>
      <w:r w:rsidR="000838FA">
        <w:rPr>
          <w:rFonts w:cs="Times New Roman"/>
          <w:b/>
          <w:sz w:val="28"/>
          <w:szCs w:val="28"/>
        </w:rPr>
        <w:t xml:space="preserve"> MODYFIKACJA SWZ NR 1</w:t>
      </w:r>
    </w:p>
    <w:p w:rsidR="00340C62" w:rsidRPr="00483ED3" w:rsidRDefault="00340C62" w:rsidP="00483ED3">
      <w:pPr>
        <w:spacing w:line="240" w:lineRule="auto"/>
        <w:jc w:val="both"/>
        <w:rPr>
          <w:rFonts w:cs="Times New Roman"/>
          <w:sz w:val="21"/>
          <w:szCs w:val="21"/>
        </w:rPr>
      </w:pPr>
    </w:p>
    <w:p w:rsidR="00FF0107" w:rsidRPr="00956BE7" w:rsidRDefault="00A249E6" w:rsidP="00F079CB">
      <w:pPr>
        <w:spacing w:line="240" w:lineRule="auto"/>
        <w:jc w:val="both"/>
        <w:rPr>
          <w:rFonts w:cstheme="minorHAnsi"/>
          <w:sz w:val="19"/>
          <w:szCs w:val="19"/>
        </w:rPr>
        <w:sectPr w:rsidR="00FF0107" w:rsidRPr="00956BE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956BE7">
        <w:rPr>
          <w:rFonts w:cstheme="minorHAnsi"/>
          <w:sz w:val="19"/>
          <w:szCs w:val="19"/>
        </w:rPr>
        <w:t>Na podstawie art. 135</w:t>
      </w:r>
      <w:r w:rsidR="00CA6119" w:rsidRPr="00956BE7">
        <w:rPr>
          <w:rFonts w:cstheme="minorHAnsi"/>
          <w:sz w:val="19"/>
          <w:szCs w:val="19"/>
        </w:rPr>
        <w:t xml:space="preserve"> ustawy z dnia 11 września 2021 r. Prawo zamówień publicznych (Dz.U.2019.2019 t.j. z dnia 2019.10.24), zamawiający udziela następujących wyjaśnień na pytania dotyczące treści </w:t>
      </w:r>
      <w:r w:rsidR="00D568FF" w:rsidRPr="00956BE7">
        <w:rPr>
          <w:rFonts w:cstheme="minorHAnsi"/>
          <w:sz w:val="19"/>
          <w:szCs w:val="19"/>
        </w:rPr>
        <w:t>swz</w:t>
      </w:r>
      <w:r w:rsidRPr="00956BE7">
        <w:rPr>
          <w:rFonts w:cstheme="minorHAnsi"/>
          <w:sz w:val="19"/>
          <w:szCs w:val="19"/>
        </w:rPr>
        <w:t>:</w:t>
      </w:r>
    </w:p>
    <w:p w:rsidR="00A249E6" w:rsidRPr="00956BE7" w:rsidRDefault="00A249E6" w:rsidP="00F079CB">
      <w:pPr>
        <w:autoSpaceDE w:val="0"/>
        <w:spacing w:line="240" w:lineRule="auto"/>
        <w:jc w:val="both"/>
        <w:rPr>
          <w:rFonts w:cstheme="minorHAnsi"/>
          <w:b/>
          <w:bCs/>
          <w:sz w:val="19"/>
          <w:szCs w:val="19"/>
        </w:rPr>
      </w:pPr>
      <w:bookmarkStart w:id="2" w:name="_Hlk12607031"/>
    </w:p>
    <w:p w:rsidR="00DA6B1D" w:rsidRPr="00956BE7" w:rsidRDefault="00DA6B1D" w:rsidP="00DA6B1D">
      <w:pPr>
        <w:pStyle w:val="Textbody"/>
        <w:jc w:val="both"/>
        <w:rPr>
          <w:rFonts w:asciiTheme="minorHAnsi" w:hAnsiTheme="minorHAnsi" w:cstheme="minorHAnsi"/>
          <w:b w:val="0"/>
          <w:bCs/>
          <w:i w:val="0"/>
          <w:sz w:val="19"/>
          <w:szCs w:val="19"/>
        </w:rPr>
      </w:pPr>
      <w:r w:rsidRPr="00956BE7">
        <w:rPr>
          <w:rFonts w:asciiTheme="minorHAnsi" w:hAnsiTheme="minorHAnsi" w:cstheme="minorHAnsi"/>
          <w:bCs/>
          <w:i w:val="0"/>
          <w:sz w:val="19"/>
          <w:szCs w:val="19"/>
        </w:rPr>
        <w:t xml:space="preserve">Pytanie 1, </w:t>
      </w:r>
      <w:r w:rsidRPr="00956BE7">
        <w:rPr>
          <w:rFonts w:asciiTheme="minorHAnsi" w:hAnsiTheme="minorHAnsi" w:cstheme="minorHAnsi"/>
          <w:b w:val="0"/>
          <w:bCs/>
          <w:i w:val="0"/>
          <w:sz w:val="19"/>
          <w:szCs w:val="19"/>
        </w:rPr>
        <w:t xml:space="preserve">Dot. zał. nr 2 do SWZ - FPW </w:t>
      </w:r>
      <w:r w:rsidRPr="00956BE7">
        <w:rPr>
          <w:rFonts w:asciiTheme="minorHAnsi" w:hAnsiTheme="minorHAnsi" w:cstheme="minorHAnsi"/>
          <w:b w:val="0"/>
          <w:bCs/>
          <w:i w:val="0"/>
          <w:color w:val="000000"/>
          <w:sz w:val="19"/>
          <w:szCs w:val="19"/>
        </w:rPr>
        <w:t>Aparat RTG z ramieniem C</w:t>
      </w:r>
    </w:p>
    <w:p w:rsidR="00DA6B1D"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 xml:space="preserve">Nasza firma pragnie Państwu zaoferować w postępowaniu wysokiej klasy aparat </w:t>
      </w:r>
      <w:proofErr w:type="spellStart"/>
      <w:r w:rsidRPr="00956BE7">
        <w:rPr>
          <w:rFonts w:asciiTheme="minorHAnsi" w:hAnsiTheme="minorHAnsi" w:cstheme="minorHAnsi"/>
          <w:b w:val="0"/>
          <w:i w:val="0"/>
          <w:sz w:val="19"/>
          <w:szCs w:val="19"/>
        </w:rPr>
        <w:t>rtg</w:t>
      </w:r>
      <w:proofErr w:type="spellEnd"/>
      <w:r w:rsidRPr="00956BE7">
        <w:rPr>
          <w:rFonts w:asciiTheme="minorHAnsi" w:hAnsiTheme="minorHAnsi" w:cstheme="minorHAnsi"/>
          <w:b w:val="0"/>
          <w:i w:val="0"/>
          <w:sz w:val="19"/>
          <w:szCs w:val="19"/>
        </w:rPr>
        <w:t xml:space="preserve"> z ramieniem C. Aby umożliwić konkurencję w postępowaniu prosimy o dopuszczenie poniższych parametrów, co pozwoli nam zaoferować aparat CIOS </w:t>
      </w:r>
      <w:proofErr w:type="spellStart"/>
      <w:r w:rsidRPr="00956BE7">
        <w:rPr>
          <w:rFonts w:asciiTheme="minorHAnsi" w:hAnsiTheme="minorHAnsi" w:cstheme="minorHAnsi"/>
          <w:b w:val="0"/>
          <w:i w:val="0"/>
          <w:sz w:val="19"/>
          <w:szCs w:val="19"/>
        </w:rPr>
        <w:t>Alpha</w:t>
      </w:r>
      <w:proofErr w:type="spellEnd"/>
      <w:r w:rsidRPr="00956BE7">
        <w:rPr>
          <w:rFonts w:asciiTheme="minorHAnsi" w:hAnsiTheme="minorHAnsi" w:cstheme="minorHAnsi"/>
          <w:b w:val="0"/>
          <w:i w:val="0"/>
          <w:sz w:val="19"/>
          <w:szCs w:val="19"/>
        </w:rPr>
        <w:t xml:space="preserve"> marki Siemens </w:t>
      </w:r>
      <w:proofErr w:type="spellStart"/>
      <w:r w:rsidRPr="00956BE7">
        <w:rPr>
          <w:rFonts w:asciiTheme="minorHAnsi" w:hAnsiTheme="minorHAnsi" w:cstheme="minorHAnsi"/>
          <w:b w:val="0"/>
          <w:i w:val="0"/>
          <w:sz w:val="19"/>
          <w:szCs w:val="19"/>
        </w:rPr>
        <w:t>Healthineers</w:t>
      </w:r>
      <w:proofErr w:type="spellEnd"/>
      <w:r w:rsidRPr="00956BE7">
        <w:rPr>
          <w:rFonts w:asciiTheme="minorHAnsi" w:hAnsiTheme="minorHAnsi" w:cstheme="minorHAnsi"/>
          <w:b w:val="0"/>
          <w:i w:val="0"/>
          <w:sz w:val="19"/>
          <w:szCs w:val="19"/>
        </w:rPr>
        <w:t xml:space="preserve"> w postępowaniu:</w:t>
      </w:r>
    </w:p>
    <w:p w:rsidR="00956BE7" w:rsidRPr="00956BE7" w:rsidRDefault="00956BE7" w:rsidP="00DA6B1D">
      <w:pPr>
        <w:pStyle w:val="Textbody"/>
        <w:jc w:val="both"/>
        <w:rPr>
          <w:rFonts w:asciiTheme="minorHAnsi" w:hAnsiTheme="minorHAnsi" w:cstheme="minorHAnsi"/>
          <w:b w:val="0"/>
          <w:i w:val="0"/>
          <w:sz w:val="19"/>
          <w:szCs w:val="19"/>
        </w:rPr>
      </w:pPr>
    </w:p>
    <w:tbl>
      <w:tblPr>
        <w:tblW w:w="10565" w:type="dxa"/>
        <w:tblInd w:w="-289" w:type="dxa"/>
        <w:tblLayout w:type="fixed"/>
        <w:tblCellMar>
          <w:left w:w="70" w:type="dxa"/>
          <w:right w:w="70" w:type="dxa"/>
        </w:tblCellMar>
        <w:tblLook w:val="00A0" w:firstRow="1" w:lastRow="0" w:firstColumn="1" w:lastColumn="0" w:noHBand="0" w:noVBand="0"/>
      </w:tblPr>
      <w:tblGrid>
        <w:gridCol w:w="851"/>
        <w:gridCol w:w="4895"/>
        <w:gridCol w:w="1276"/>
        <w:gridCol w:w="1984"/>
        <w:gridCol w:w="1559"/>
      </w:tblGrid>
      <w:tr w:rsidR="00DA6B1D" w:rsidRPr="00956BE7" w:rsidTr="00DA6B1D">
        <w:trPr>
          <w:trHeight w:val="453"/>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DA6B1D" w:rsidRPr="00956BE7" w:rsidRDefault="00DA6B1D" w:rsidP="00DA6B1D">
            <w:pPr>
              <w:suppressAutoHyphens/>
              <w:spacing w:line="240" w:lineRule="auto"/>
              <w:jc w:val="center"/>
              <w:rPr>
                <w:rFonts w:cstheme="minorHAnsi"/>
                <w:b/>
                <w:bCs/>
                <w:color w:val="000000"/>
                <w:sz w:val="19"/>
                <w:szCs w:val="19"/>
              </w:rPr>
            </w:pPr>
            <w:r w:rsidRPr="00956BE7">
              <w:rPr>
                <w:rFonts w:cstheme="minorHAnsi"/>
                <w:b/>
                <w:bCs/>
                <w:color w:val="000000"/>
                <w:sz w:val="19"/>
                <w:szCs w:val="19"/>
              </w:rPr>
              <w:t>Lp.</w:t>
            </w:r>
          </w:p>
        </w:tc>
        <w:tc>
          <w:tcPr>
            <w:tcW w:w="4895" w:type="dxa"/>
            <w:tcBorders>
              <w:top w:val="single" w:sz="4" w:space="0" w:color="auto"/>
              <w:left w:val="nil"/>
              <w:bottom w:val="single" w:sz="4" w:space="0" w:color="auto"/>
              <w:right w:val="single" w:sz="4" w:space="0" w:color="auto"/>
            </w:tcBorders>
            <w:shd w:val="clear" w:color="auto" w:fill="BFBFBF"/>
            <w:vAlign w:val="center"/>
          </w:tcPr>
          <w:p w:rsidR="00DA6B1D" w:rsidRPr="00956BE7" w:rsidRDefault="00DA6B1D" w:rsidP="00DA6B1D">
            <w:pPr>
              <w:suppressAutoHyphens/>
              <w:spacing w:line="240" w:lineRule="auto"/>
              <w:jc w:val="center"/>
              <w:rPr>
                <w:rFonts w:cstheme="minorHAnsi"/>
                <w:b/>
                <w:bCs/>
                <w:color w:val="000000"/>
                <w:sz w:val="19"/>
                <w:szCs w:val="19"/>
              </w:rPr>
            </w:pPr>
            <w:r w:rsidRPr="00956BE7">
              <w:rPr>
                <w:rFonts w:cstheme="minorHAnsi"/>
                <w:b/>
                <w:bCs/>
                <w:color w:val="000000"/>
                <w:sz w:val="19"/>
                <w:szCs w:val="19"/>
              </w:rPr>
              <w:t>Opis parametrów</w:t>
            </w:r>
          </w:p>
        </w:tc>
        <w:tc>
          <w:tcPr>
            <w:tcW w:w="1276" w:type="dxa"/>
            <w:tcBorders>
              <w:top w:val="single" w:sz="4" w:space="0" w:color="auto"/>
              <w:left w:val="nil"/>
              <w:bottom w:val="single" w:sz="4" w:space="0" w:color="auto"/>
              <w:right w:val="single" w:sz="4" w:space="0" w:color="auto"/>
            </w:tcBorders>
            <w:shd w:val="clear" w:color="auto" w:fill="BFBFBF"/>
            <w:vAlign w:val="center"/>
          </w:tcPr>
          <w:p w:rsidR="00DA6B1D" w:rsidRPr="00956BE7" w:rsidRDefault="00DA6B1D" w:rsidP="00DA6B1D">
            <w:pPr>
              <w:suppressAutoHyphens/>
              <w:spacing w:line="240" w:lineRule="auto"/>
              <w:jc w:val="center"/>
              <w:rPr>
                <w:rFonts w:cstheme="minorHAnsi"/>
                <w:b/>
                <w:bCs/>
                <w:color w:val="000000"/>
                <w:sz w:val="19"/>
                <w:szCs w:val="19"/>
              </w:rPr>
            </w:pPr>
            <w:r w:rsidRPr="00956BE7">
              <w:rPr>
                <w:rFonts w:cstheme="minorHAnsi"/>
                <w:b/>
                <w:bCs/>
                <w:color w:val="000000"/>
                <w:sz w:val="19"/>
                <w:szCs w:val="19"/>
              </w:rPr>
              <w:t>Parametry wymagane</w:t>
            </w:r>
          </w:p>
        </w:tc>
        <w:tc>
          <w:tcPr>
            <w:tcW w:w="1984" w:type="dxa"/>
            <w:tcBorders>
              <w:top w:val="single" w:sz="4" w:space="0" w:color="auto"/>
              <w:left w:val="nil"/>
              <w:bottom w:val="single" w:sz="4" w:space="0" w:color="auto"/>
              <w:right w:val="single" w:sz="4" w:space="0" w:color="auto"/>
            </w:tcBorders>
            <w:shd w:val="clear" w:color="auto" w:fill="BFBFBF"/>
            <w:vAlign w:val="center"/>
          </w:tcPr>
          <w:p w:rsidR="00DA6B1D" w:rsidRPr="00956BE7" w:rsidRDefault="00DA6B1D" w:rsidP="00DA6B1D">
            <w:pPr>
              <w:suppressAutoHyphens/>
              <w:spacing w:line="240" w:lineRule="auto"/>
              <w:jc w:val="center"/>
              <w:rPr>
                <w:rFonts w:cstheme="minorHAnsi"/>
                <w:b/>
                <w:bCs/>
                <w:color w:val="000000"/>
                <w:sz w:val="19"/>
                <w:szCs w:val="19"/>
              </w:rPr>
            </w:pPr>
            <w:r w:rsidRPr="00956BE7">
              <w:rPr>
                <w:rFonts w:cstheme="minorHAnsi"/>
                <w:b/>
                <w:bCs/>
                <w:sz w:val="19"/>
                <w:szCs w:val="19"/>
              </w:rPr>
              <w:t>Parametry punktowane</w:t>
            </w:r>
          </w:p>
        </w:tc>
        <w:tc>
          <w:tcPr>
            <w:tcW w:w="1559" w:type="dxa"/>
            <w:tcBorders>
              <w:top w:val="single" w:sz="4" w:space="0" w:color="auto"/>
              <w:left w:val="nil"/>
              <w:bottom w:val="single" w:sz="4" w:space="0" w:color="auto"/>
              <w:right w:val="single" w:sz="4" w:space="0" w:color="auto"/>
            </w:tcBorders>
            <w:shd w:val="clear" w:color="auto" w:fill="BFBFBF"/>
            <w:vAlign w:val="center"/>
          </w:tcPr>
          <w:p w:rsidR="00DA6B1D" w:rsidRPr="00956BE7" w:rsidRDefault="00DA6B1D" w:rsidP="00DA6B1D">
            <w:pPr>
              <w:suppressAutoHyphens/>
              <w:spacing w:line="240" w:lineRule="auto"/>
              <w:jc w:val="center"/>
              <w:rPr>
                <w:rFonts w:cstheme="minorHAnsi"/>
                <w:b/>
                <w:bCs/>
                <w:sz w:val="19"/>
                <w:szCs w:val="19"/>
              </w:rPr>
            </w:pPr>
            <w:r w:rsidRPr="00956BE7">
              <w:rPr>
                <w:rFonts w:cstheme="minorHAnsi"/>
                <w:b/>
                <w:bCs/>
                <w:sz w:val="19"/>
                <w:szCs w:val="19"/>
              </w:rPr>
              <w:t>Parametry oferowane</w:t>
            </w:r>
          </w:p>
          <w:p w:rsidR="00DA6B1D" w:rsidRPr="00956BE7" w:rsidRDefault="00DA6B1D" w:rsidP="00DA6B1D">
            <w:pPr>
              <w:suppressAutoHyphens/>
              <w:spacing w:line="240" w:lineRule="auto"/>
              <w:jc w:val="center"/>
              <w:rPr>
                <w:rFonts w:cstheme="minorHAnsi"/>
                <w:b/>
                <w:bCs/>
                <w:color w:val="000000"/>
                <w:sz w:val="19"/>
                <w:szCs w:val="19"/>
              </w:rPr>
            </w:pPr>
            <w:r w:rsidRPr="00956BE7">
              <w:rPr>
                <w:rFonts w:cstheme="minorHAnsi"/>
                <w:b/>
                <w:bCs/>
                <w:sz w:val="19"/>
                <w:szCs w:val="19"/>
              </w:rPr>
              <w:t>(wypełnia Wykonawca)</w:t>
            </w:r>
          </w:p>
        </w:tc>
      </w:tr>
      <w:tr w:rsidR="00DA6B1D" w:rsidRPr="00956BE7" w:rsidTr="00DA6B1D">
        <w:trPr>
          <w:trHeight w:val="302"/>
        </w:trPr>
        <w:tc>
          <w:tcPr>
            <w:tcW w:w="1056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b/>
                <w:bCs/>
                <w:color w:val="000000"/>
                <w:sz w:val="19"/>
                <w:szCs w:val="19"/>
              </w:rPr>
            </w:pPr>
            <w:r w:rsidRPr="00956BE7">
              <w:rPr>
                <w:rFonts w:cstheme="minorHAnsi"/>
                <w:b/>
                <w:bCs/>
                <w:color w:val="000000"/>
                <w:sz w:val="19"/>
                <w:szCs w:val="19"/>
              </w:rPr>
              <w:t>I. Aparat RTG z ramieniem C</w:t>
            </w:r>
          </w:p>
        </w:tc>
      </w:tr>
      <w:tr w:rsidR="00DA6B1D" w:rsidRPr="00956BE7" w:rsidTr="00DA6B1D">
        <w:trPr>
          <w:trHeight w:val="302"/>
        </w:trPr>
        <w:tc>
          <w:tcPr>
            <w:tcW w:w="851" w:type="dxa"/>
            <w:tcBorders>
              <w:top w:val="nil"/>
              <w:left w:val="single" w:sz="4" w:space="0" w:color="auto"/>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b/>
                <w:bCs/>
                <w:color w:val="000000"/>
                <w:sz w:val="19"/>
                <w:szCs w:val="19"/>
              </w:rPr>
            </w:pPr>
            <w:r w:rsidRPr="00956BE7">
              <w:rPr>
                <w:rFonts w:cstheme="minorHAnsi"/>
                <w:b/>
                <w:bCs/>
                <w:color w:val="000000"/>
                <w:sz w:val="19"/>
                <w:szCs w:val="19"/>
              </w:rPr>
              <w:t>2.</w:t>
            </w:r>
          </w:p>
        </w:tc>
        <w:tc>
          <w:tcPr>
            <w:tcW w:w="4895"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rPr>
                <w:rFonts w:cstheme="minorHAnsi"/>
                <w:b/>
                <w:bCs/>
                <w:color w:val="000000"/>
                <w:sz w:val="19"/>
                <w:szCs w:val="19"/>
              </w:rPr>
            </w:pPr>
            <w:r w:rsidRPr="00956BE7">
              <w:rPr>
                <w:rFonts w:cstheme="minorHAnsi"/>
                <w:b/>
                <w:bCs/>
                <w:color w:val="000000"/>
                <w:sz w:val="19"/>
                <w:szCs w:val="19"/>
              </w:rPr>
              <w:t>Wózek aparatu z ramieniem C</w:t>
            </w:r>
          </w:p>
        </w:tc>
        <w:tc>
          <w:tcPr>
            <w:tcW w:w="1276"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b/>
                <w:bCs/>
                <w:color w:val="000000"/>
                <w:sz w:val="19"/>
                <w:szCs w:val="19"/>
              </w:rPr>
            </w:pPr>
          </w:p>
        </w:tc>
        <w:tc>
          <w:tcPr>
            <w:tcW w:w="1984"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b/>
                <w:bCs/>
                <w:color w:val="000000"/>
                <w:sz w:val="19"/>
                <w:szCs w:val="19"/>
              </w:rPr>
            </w:pPr>
          </w:p>
        </w:tc>
        <w:tc>
          <w:tcPr>
            <w:tcW w:w="1559"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b/>
                <w:bCs/>
                <w:color w:val="000000"/>
                <w:sz w:val="19"/>
                <w:szCs w:val="19"/>
              </w:rPr>
            </w:pPr>
            <w:r w:rsidRPr="00956BE7">
              <w:rPr>
                <w:rFonts w:cstheme="minorHAnsi"/>
                <w:b/>
                <w:bCs/>
                <w:color w:val="000000"/>
                <w:sz w:val="19"/>
                <w:szCs w:val="19"/>
              </w:rPr>
              <w:t> </w:t>
            </w:r>
          </w:p>
        </w:tc>
      </w:tr>
      <w:tr w:rsidR="00DA6B1D" w:rsidRPr="00956BE7" w:rsidTr="00DA6B1D">
        <w:trPr>
          <w:trHeight w:val="301"/>
        </w:trPr>
        <w:tc>
          <w:tcPr>
            <w:tcW w:w="851" w:type="dxa"/>
            <w:tcBorders>
              <w:top w:val="nil"/>
              <w:left w:val="single" w:sz="4" w:space="0" w:color="auto"/>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2.3.</w:t>
            </w:r>
          </w:p>
        </w:tc>
        <w:tc>
          <w:tcPr>
            <w:tcW w:w="4895"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rPr>
                <w:rFonts w:cstheme="minorHAnsi"/>
                <w:color w:val="000000"/>
                <w:sz w:val="19"/>
                <w:szCs w:val="19"/>
              </w:rPr>
            </w:pPr>
            <w:r w:rsidRPr="00956BE7">
              <w:rPr>
                <w:rFonts w:cstheme="minorHAnsi"/>
                <w:color w:val="000000"/>
                <w:sz w:val="19"/>
                <w:szCs w:val="19"/>
              </w:rPr>
              <w:t>Obrót ramienia wokół osi podłużnej  LAO/RAO w zakresie ≥ 140°</w:t>
            </w:r>
          </w:p>
        </w:tc>
        <w:tc>
          <w:tcPr>
            <w:tcW w:w="1276"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TAK,</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podać</w:t>
            </w:r>
          </w:p>
        </w:tc>
        <w:tc>
          <w:tcPr>
            <w:tcW w:w="1984"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p>
        </w:tc>
        <w:tc>
          <w:tcPr>
            <w:tcW w:w="1559"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FF0000"/>
                <w:sz w:val="19"/>
                <w:szCs w:val="19"/>
              </w:rPr>
            </w:pPr>
          </w:p>
        </w:tc>
      </w:tr>
      <w:tr w:rsidR="00DA6B1D" w:rsidRPr="00956BE7" w:rsidTr="00DA6B1D">
        <w:trPr>
          <w:trHeight w:val="301"/>
        </w:trPr>
        <w:tc>
          <w:tcPr>
            <w:tcW w:w="851" w:type="dxa"/>
            <w:tcBorders>
              <w:top w:val="nil"/>
              <w:left w:val="single" w:sz="4" w:space="0" w:color="auto"/>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3.</w:t>
            </w:r>
          </w:p>
        </w:tc>
        <w:tc>
          <w:tcPr>
            <w:tcW w:w="4895"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rPr>
                <w:rFonts w:cstheme="minorHAnsi"/>
                <w:color w:val="000000"/>
                <w:sz w:val="19"/>
                <w:szCs w:val="19"/>
              </w:rPr>
            </w:pPr>
            <w:r w:rsidRPr="00956BE7">
              <w:rPr>
                <w:rFonts w:cstheme="minorHAnsi"/>
                <w:color w:val="000000"/>
                <w:sz w:val="19"/>
                <w:szCs w:val="19"/>
              </w:rPr>
              <w:t>Generator</w:t>
            </w:r>
          </w:p>
        </w:tc>
        <w:tc>
          <w:tcPr>
            <w:tcW w:w="1276"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color w:val="000000"/>
                <w:sz w:val="19"/>
                <w:szCs w:val="19"/>
              </w:rPr>
            </w:pPr>
          </w:p>
        </w:tc>
        <w:tc>
          <w:tcPr>
            <w:tcW w:w="1984"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color w:val="000000"/>
                <w:sz w:val="19"/>
                <w:szCs w:val="19"/>
              </w:rPr>
            </w:pPr>
          </w:p>
        </w:tc>
        <w:tc>
          <w:tcPr>
            <w:tcW w:w="1559"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 </w:t>
            </w:r>
          </w:p>
        </w:tc>
      </w:tr>
      <w:tr w:rsidR="00DA6B1D" w:rsidRPr="00956BE7" w:rsidTr="00DA6B1D">
        <w:trPr>
          <w:trHeight w:val="301"/>
        </w:trPr>
        <w:tc>
          <w:tcPr>
            <w:tcW w:w="851" w:type="dxa"/>
            <w:tcBorders>
              <w:top w:val="nil"/>
              <w:left w:val="single" w:sz="4" w:space="0" w:color="auto"/>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3.2.</w:t>
            </w:r>
          </w:p>
        </w:tc>
        <w:tc>
          <w:tcPr>
            <w:tcW w:w="4895"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rPr>
                <w:rFonts w:cstheme="minorHAnsi"/>
                <w:color w:val="000000"/>
                <w:sz w:val="19"/>
                <w:szCs w:val="19"/>
              </w:rPr>
            </w:pPr>
            <w:r w:rsidRPr="00956BE7">
              <w:rPr>
                <w:rFonts w:cstheme="minorHAnsi"/>
                <w:color w:val="000000"/>
                <w:sz w:val="19"/>
                <w:szCs w:val="19"/>
              </w:rPr>
              <w:t>Częstotliwość generatora nie mniejsza ≥ 18 kHz</w:t>
            </w:r>
          </w:p>
        </w:tc>
        <w:tc>
          <w:tcPr>
            <w:tcW w:w="1276"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TAK,</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podać</w:t>
            </w:r>
          </w:p>
        </w:tc>
        <w:tc>
          <w:tcPr>
            <w:tcW w:w="1984"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p>
        </w:tc>
        <w:tc>
          <w:tcPr>
            <w:tcW w:w="1559"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FF0000"/>
                <w:sz w:val="19"/>
                <w:szCs w:val="19"/>
              </w:rPr>
            </w:pPr>
          </w:p>
        </w:tc>
      </w:tr>
      <w:tr w:rsidR="00DA6B1D" w:rsidRPr="00956BE7" w:rsidTr="00DA6B1D">
        <w:trPr>
          <w:trHeight w:val="301"/>
        </w:trPr>
        <w:tc>
          <w:tcPr>
            <w:tcW w:w="851" w:type="dxa"/>
            <w:tcBorders>
              <w:top w:val="nil"/>
              <w:left w:val="single" w:sz="4" w:space="0" w:color="auto"/>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3.8.</w:t>
            </w:r>
          </w:p>
        </w:tc>
        <w:tc>
          <w:tcPr>
            <w:tcW w:w="4895"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rPr>
                <w:rFonts w:cstheme="minorHAnsi"/>
                <w:color w:val="000000"/>
                <w:sz w:val="19"/>
                <w:szCs w:val="19"/>
              </w:rPr>
            </w:pPr>
            <w:r w:rsidRPr="00956BE7">
              <w:rPr>
                <w:rFonts w:cstheme="minorHAnsi"/>
                <w:color w:val="000000"/>
                <w:sz w:val="19"/>
                <w:szCs w:val="19"/>
              </w:rPr>
              <w:t>Regulacja szerokości impulsu w zakresie min. 5 - 14 ms</w:t>
            </w:r>
          </w:p>
        </w:tc>
        <w:tc>
          <w:tcPr>
            <w:tcW w:w="1276"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TAK,</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podać</w:t>
            </w:r>
          </w:p>
        </w:tc>
        <w:tc>
          <w:tcPr>
            <w:tcW w:w="1984"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p>
        </w:tc>
        <w:tc>
          <w:tcPr>
            <w:tcW w:w="1559"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FF0000"/>
                <w:sz w:val="19"/>
                <w:szCs w:val="19"/>
              </w:rPr>
            </w:pPr>
          </w:p>
        </w:tc>
      </w:tr>
    </w:tbl>
    <w:p w:rsidR="00DA6B1D" w:rsidRPr="00956BE7" w:rsidRDefault="00DA6B1D" w:rsidP="00DA6B1D">
      <w:pPr>
        <w:pStyle w:val="Textbody"/>
        <w:jc w:val="both"/>
        <w:rPr>
          <w:rFonts w:asciiTheme="minorHAnsi" w:hAnsiTheme="minorHAnsi" w:cstheme="minorHAnsi"/>
          <w:b w:val="0"/>
          <w:i w:val="0"/>
          <w:sz w:val="19"/>
          <w:szCs w:val="19"/>
        </w:rPr>
      </w:pP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 xml:space="preserve">Czy Zamawiający zgodzi się dopuścić powyższe parametry aparatu </w:t>
      </w:r>
      <w:proofErr w:type="spellStart"/>
      <w:r w:rsidRPr="00956BE7">
        <w:rPr>
          <w:rFonts w:asciiTheme="minorHAnsi" w:hAnsiTheme="minorHAnsi" w:cstheme="minorHAnsi"/>
          <w:b w:val="0"/>
          <w:i w:val="0"/>
          <w:sz w:val="19"/>
          <w:szCs w:val="19"/>
        </w:rPr>
        <w:t>rtg</w:t>
      </w:r>
      <w:proofErr w:type="spellEnd"/>
      <w:r w:rsidRPr="00956BE7">
        <w:rPr>
          <w:rFonts w:asciiTheme="minorHAnsi" w:hAnsiTheme="minorHAnsi" w:cstheme="minorHAnsi"/>
          <w:b w:val="0"/>
          <w:i w:val="0"/>
          <w:sz w:val="19"/>
          <w:szCs w:val="19"/>
        </w:rPr>
        <w:t xml:space="preserve"> z ramieniem C?</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Zamawiający wyjaśnia:</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 xml:space="preserve">- dla 2.3 </w:t>
      </w:r>
      <w:r w:rsidRPr="00956BE7">
        <w:rPr>
          <w:rFonts w:asciiTheme="minorHAnsi" w:hAnsiTheme="minorHAnsi" w:cstheme="minorHAnsi"/>
          <w:i w:val="0"/>
          <w:sz w:val="19"/>
          <w:szCs w:val="19"/>
        </w:rPr>
        <w:t>nie dopuszcza</w:t>
      </w:r>
      <w:r w:rsidRPr="00956BE7">
        <w:rPr>
          <w:rFonts w:asciiTheme="minorHAnsi" w:hAnsiTheme="minorHAnsi" w:cstheme="minorHAnsi"/>
          <w:b w:val="0"/>
          <w:i w:val="0"/>
          <w:sz w:val="19"/>
          <w:szCs w:val="19"/>
        </w:rPr>
        <w:t xml:space="preserve">. Przy implementacji </w:t>
      </w:r>
      <w:proofErr w:type="spellStart"/>
      <w:r w:rsidRPr="00956BE7">
        <w:rPr>
          <w:rFonts w:asciiTheme="minorHAnsi" w:hAnsiTheme="minorHAnsi" w:cstheme="minorHAnsi"/>
          <w:b w:val="0"/>
          <w:i w:val="0"/>
          <w:sz w:val="19"/>
          <w:szCs w:val="19"/>
        </w:rPr>
        <w:t>stentgraftu</w:t>
      </w:r>
      <w:proofErr w:type="spellEnd"/>
      <w:r w:rsidRPr="00956BE7">
        <w:rPr>
          <w:rFonts w:asciiTheme="minorHAnsi" w:hAnsiTheme="minorHAnsi" w:cstheme="minorHAnsi"/>
          <w:b w:val="0"/>
          <w:i w:val="0"/>
          <w:sz w:val="19"/>
          <w:szCs w:val="19"/>
        </w:rPr>
        <w:t xml:space="preserve"> łuku aorty zachodzi konieczność ustawienia większych katów ramienia C. Ograniczenie tych kątów skutkuje zmniejszeniem funkcjonalności aparatu.</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 xml:space="preserve">- dla punktu 3.2 – </w:t>
      </w:r>
      <w:r w:rsidRPr="00956BE7">
        <w:rPr>
          <w:rFonts w:asciiTheme="minorHAnsi" w:hAnsiTheme="minorHAnsi" w:cstheme="minorHAnsi"/>
          <w:i w:val="0"/>
          <w:sz w:val="19"/>
          <w:szCs w:val="19"/>
        </w:rPr>
        <w:t>dopuszcza</w:t>
      </w:r>
      <w:r w:rsidRPr="00956BE7">
        <w:rPr>
          <w:rFonts w:asciiTheme="minorHAnsi" w:hAnsiTheme="minorHAnsi" w:cstheme="minorHAnsi"/>
          <w:b w:val="0"/>
          <w:i w:val="0"/>
          <w:sz w:val="19"/>
          <w:szCs w:val="19"/>
        </w:rPr>
        <w:t>,</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 xml:space="preserve">- dla punktu 3.8 - </w:t>
      </w:r>
      <w:r w:rsidRPr="00956BE7">
        <w:rPr>
          <w:rFonts w:asciiTheme="minorHAnsi" w:hAnsiTheme="minorHAnsi" w:cstheme="minorHAnsi"/>
          <w:i w:val="0"/>
          <w:sz w:val="19"/>
          <w:szCs w:val="19"/>
        </w:rPr>
        <w:t>dopuszcza</w:t>
      </w:r>
    </w:p>
    <w:p w:rsidR="00DA6B1D" w:rsidRPr="00956BE7" w:rsidRDefault="00DA6B1D" w:rsidP="00DA6B1D">
      <w:pPr>
        <w:pStyle w:val="Textbody"/>
        <w:jc w:val="both"/>
        <w:rPr>
          <w:rFonts w:asciiTheme="minorHAnsi" w:hAnsiTheme="minorHAnsi" w:cstheme="minorHAnsi"/>
          <w:sz w:val="19"/>
          <w:szCs w:val="19"/>
        </w:rPr>
      </w:pPr>
    </w:p>
    <w:p w:rsidR="00956BE7" w:rsidRDefault="00956BE7" w:rsidP="00DA6B1D">
      <w:pPr>
        <w:pStyle w:val="Textbody"/>
        <w:jc w:val="both"/>
        <w:rPr>
          <w:rFonts w:asciiTheme="minorHAnsi" w:hAnsiTheme="minorHAnsi" w:cstheme="minorHAnsi"/>
          <w:bCs/>
          <w:i w:val="0"/>
          <w:sz w:val="19"/>
          <w:szCs w:val="19"/>
        </w:rPr>
      </w:pPr>
    </w:p>
    <w:p w:rsidR="00DA6B1D" w:rsidRPr="00956BE7" w:rsidRDefault="00DA6B1D" w:rsidP="00DA6B1D">
      <w:pPr>
        <w:pStyle w:val="Textbody"/>
        <w:jc w:val="both"/>
        <w:rPr>
          <w:rFonts w:asciiTheme="minorHAnsi" w:hAnsiTheme="minorHAnsi" w:cstheme="minorHAnsi"/>
          <w:b w:val="0"/>
          <w:bCs/>
          <w:i w:val="0"/>
          <w:sz w:val="19"/>
          <w:szCs w:val="19"/>
        </w:rPr>
      </w:pPr>
      <w:r w:rsidRPr="00956BE7">
        <w:rPr>
          <w:rFonts w:asciiTheme="minorHAnsi" w:hAnsiTheme="minorHAnsi" w:cstheme="minorHAnsi"/>
          <w:bCs/>
          <w:i w:val="0"/>
          <w:sz w:val="19"/>
          <w:szCs w:val="19"/>
        </w:rPr>
        <w:lastRenderedPageBreak/>
        <w:t xml:space="preserve">Pytanie 2, </w:t>
      </w:r>
      <w:r w:rsidRPr="00956BE7">
        <w:rPr>
          <w:rFonts w:asciiTheme="minorHAnsi" w:hAnsiTheme="minorHAnsi" w:cstheme="minorHAnsi"/>
          <w:b w:val="0"/>
          <w:bCs/>
          <w:i w:val="0"/>
          <w:sz w:val="19"/>
          <w:szCs w:val="19"/>
        </w:rPr>
        <w:t xml:space="preserve">Dot. zał. nr 2 do SWZ - FPW </w:t>
      </w:r>
      <w:r w:rsidRPr="00956BE7">
        <w:rPr>
          <w:rFonts w:asciiTheme="minorHAnsi" w:hAnsiTheme="minorHAnsi" w:cstheme="minorHAnsi"/>
          <w:b w:val="0"/>
          <w:bCs/>
          <w:i w:val="0"/>
          <w:color w:val="000000"/>
          <w:sz w:val="19"/>
          <w:szCs w:val="19"/>
        </w:rPr>
        <w:t>Aparat RTG z ramieniem C</w:t>
      </w:r>
    </w:p>
    <w:p w:rsidR="00DA6B1D" w:rsidRPr="00956BE7" w:rsidRDefault="00DA6B1D" w:rsidP="00DA6B1D">
      <w:pPr>
        <w:spacing w:line="240" w:lineRule="auto"/>
        <w:jc w:val="both"/>
        <w:rPr>
          <w:rFonts w:cstheme="minorHAnsi"/>
          <w:sz w:val="19"/>
          <w:szCs w:val="19"/>
        </w:rPr>
      </w:pPr>
      <w:r w:rsidRPr="00956BE7">
        <w:rPr>
          <w:rFonts w:cstheme="minorHAnsi"/>
          <w:sz w:val="19"/>
          <w:szCs w:val="19"/>
        </w:rPr>
        <w:t xml:space="preserve">Zamawiający punktuje tylko wybrane parametry aparatu </w:t>
      </w:r>
      <w:proofErr w:type="spellStart"/>
      <w:r w:rsidRPr="00956BE7">
        <w:rPr>
          <w:rFonts w:cstheme="minorHAnsi"/>
          <w:sz w:val="19"/>
          <w:szCs w:val="19"/>
        </w:rPr>
        <w:t>rtg</w:t>
      </w:r>
      <w:proofErr w:type="spellEnd"/>
      <w:r w:rsidRPr="00956BE7">
        <w:rPr>
          <w:rFonts w:cstheme="minorHAnsi"/>
          <w:sz w:val="19"/>
          <w:szCs w:val="19"/>
        </w:rPr>
        <w:t xml:space="preserve"> z ramieniem C, w tym nie zawsze te najistotniejsze z punktu widzenia wartości klinicznej, obsługi aparatu i dostępu do pacjenta. Takie postępowanie budzi podejrzenie o próbę manipulacji oceną. Punktacja zawarta w SIWZ  stwarza nieuzasadnioną preferencję dla aparatu </w:t>
      </w:r>
      <w:proofErr w:type="spellStart"/>
      <w:r w:rsidRPr="00956BE7">
        <w:rPr>
          <w:rFonts w:cstheme="minorHAnsi"/>
          <w:sz w:val="19"/>
          <w:szCs w:val="19"/>
        </w:rPr>
        <w:t>Ziehm</w:t>
      </w:r>
      <w:proofErr w:type="spellEnd"/>
      <w:r w:rsidRPr="00956BE7">
        <w:rPr>
          <w:rFonts w:cstheme="minorHAnsi"/>
          <w:sz w:val="19"/>
          <w:szCs w:val="19"/>
        </w:rPr>
        <w:t xml:space="preserve"> </w:t>
      </w:r>
      <w:proofErr w:type="spellStart"/>
      <w:r w:rsidRPr="00956BE7">
        <w:rPr>
          <w:rFonts w:cstheme="minorHAnsi"/>
          <w:sz w:val="19"/>
          <w:szCs w:val="19"/>
        </w:rPr>
        <w:t>Vision</w:t>
      </w:r>
      <w:proofErr w:type="spellEnd"/>
      <w:r w:rsidRPr="00956BE7">
        <w:rPr>
          <w:rFonts w:cstheme="minorHAnsi"/>
          <w:sz w:val="19"/>
          <w:szCs w:val="19"/>
        </w:rPr>
        <w:t xml:space="preserve"> RFD. Z tego względu wnosimy o wprowadzenie poniższych zmian, które pozwolą Zamawiającemu na pozyskanie ofert konkurencyjnych złożonych przez różne podmioty, a co za tym idzie wybór oferty ekonomicznie i funkcjonalnie najkorzystniejszej spośród dostępnych na rynku, co niewątpliwie leży w interesie Zamawiającego.</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Prosimy o wprowadzenie punktacji dla poniższych punktów zgodnie z poniższym:</w:t>
      </w:r>
    </w:p>
    <w:tbl>
      <w:tblPr>
        <w:tblW w:w="10423" w:type="dxa"/>
        <w:tblInd w:w="-147" w:type="dxa"/>
        <w:tblLayout w:type="fixed"/>
        <w:tblCellMar>
          <w:left w:w="70" w:type="dxa"/>
          <w:right w:w="70" w:type="dxa"/>
        </w:tblCellMar>
        <w:tblLook w:val="00A0" w:firstRow="1" w:lastRow="0" w:firstColumn="1" w:lastColumn="0" w:noHBand="0" w:noVBand="0"/>
      </w:tblPr>
      <w:tblGrid>
        <w:gridCol w:w="993"/>
        <w:gridCol w:w="4252"/>
        <w:gridCol w:w="1134"/>
        <w:gridCol w:w="2485"/>
        <w:gridCol w:w="1559"/>
      </w:tblGrid>
      <w:tr w:rsidR="00DA6B1D" w:rsidRPr="00956BE7" w:rsidTr="00956BE7">
        <w:trPr>
          <w:trHeight w:val="302"/>
        </w:trPr>
        <w:tc>
          <w:tcPr>
            <w:tcW w:w="993" w:type="dxa"/>
            <w:tcBorders>
              <w:top w:val="nil"/>
              <w:left w:val="single" w:sz="4" w:space="0" w:color="auto"/>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b/>
                <w:bCs/>
                <w:color w:val="000000"/>
                <w:sz w:val="19"/>
                <w:szCs w:val="19"/>
              </w:rPr>
            </w:pPr>
            <w:r w:rsidRPr="00956BE7">
              <w:rPr>
                <w:rFonts w:cstheme="minorHAnsi"/>
                <w:b/>
                <w:bCs/>
                <w:color w:val="000000"/>
                <w:sz w:val="19"/>
                <w:szCs w:val="19"/>
              </w:rPr>
              <w:t>2.</w:t>
            </w:r>
          </w:p>
        </w:tc>
        <w:tc>
          <w:tcPr>
            <w:tcW w:w="4252"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rPr>
                <w:rFonts w:cstheme="minorHAnsi"/>
                <w:b/>
                <w:bCs/>
                <w:color w:val="000000"/>
                <w:sz w:val="19"/>
                <w:szCs w:val="19"/>
              </w:rPr>
            </w:pPr>
            <w:r w:rsidRPr="00956BE7">
              <w:rPr>
                <w:rFonts w:cstheme="minorHAnsi"/>
                <w:b/>
                <w:bCs/>
                <w:color w:val="000000"/>
                <w:sz w:val="19"/>
                <w:szCs w:val="19"/>
              </w:rPr>
              <w:t>Wózek aparatu z ramieniem C</w:t>
            </w:r>
          </w:p>
        </w:tc>
        <w:tc>
          <w:tcPr>
            <w:tcW w:w="1134"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b/>
                <w:bCs/>
                <w:color w:val="000000"/>
                <w:sz w:val="19"/>
                <w:szCs w:val="19"/>
              </w:rPr>
            </w:pPr>
          </w:p>
        </w:tc>
        <w:tc>
          <w:tcPr>
            <w:tcW w:w="2485"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b/>
                <w:bCs/>
                <w:color w:val="000000"/>
                <w:sz w:val="19"/>
                <w:szCs w:val="19"/>
              </w:rPr>
            </w:pPr>
          </w:p>
        </w:tc>
        <w:tc>
          <w:tcPr>
            <w:tcW w:w="1559" w:type="dxa"/>
            <w:tcBorders>
              <w:top w:val="nil"/>
              <w:left w:val="nil"/>
              <w:bottom w:val="single" w:sz="4" w:space="0" w:color="auto"/>
              <w:right w:val="single" w:sz="4" w:space="0" w:color="auto"/>
            </w:tcBorders>
            <w:shd w:val="clear" w:color="auto" w:fill="D9D9D9"/>
            <w:vAlign w:val="center"/>
          </w:tcPr>
          <w:p w:rsidR="00DA6B1D" w:rsidRPr="00956BE7" w:rsidRDefault="00DA6B1D" w:rsidP="00DA6B1D">
            <w:pPr>
              <w:suppressAutoHyphens/>
              <w:spacing w:line="240" w:lineRule="auto"/>
              <w:jc w:val="center"/>
              <w:rPr>
                <w:rFonts w:cstheme="minorHAnsi"/>
                <w:b/>
                <w:bCs/>
                <w:color w:val="000000"/>
                <w:sz w:val="19"/>
                <w:szCs w:val="19"/>
              </w:rPr>
            </w:pPr>
            <w:r w:rsidRPr="00956BE7">
              <w:rPr>
                <w:rFonts w:cstheme="minorHAnsi"/>
                <w:b/>
                <w:bCs/>
                <w:color w:val="000000"/>
                <w:sz w:val="19"/>
                <w:szCs w:val="19"/>
              </w:rPr>
              <w:t> </w:t>
            </w:r>
          </w:p>
        </w:tc>
      </w:tr>
      <w:tr w:rsidR="00DA6B1D" w:rsidRPr="00956BE7" w:rsidTr="00956BE7">
        <w:trPr>
          <w:trHeight w:val="301"/>
        </w:trPr>
        <w:tc>
          <w:tcPr>
            <w:tcW w:w="993" w:type="dxa"/>
            <w:tcBorders>
              <w:top w:val="nil"/>
              <w:left w:val="single" w:sz="4" w:space="0" w:color="auto"/>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2.2.</w:t>
            </w:r>
          </w:p>
        </w:tc>
        <w:tc>
          <w:tcPr>
            <w:tcW w:w="4252"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rPr>
                <w:rFonts w:cstheme="minorHAnsi"/>
                <w:color w:val="000000"/>
                <w:sz w:val="19"/>
                <w:szCs w:val="19"/>
              </w:rPr>
            </w:pPr>
            <w:r w:rsidRPr="00956BE7">
              <w:rPr>
                <w:rFonts w:cstheme="minorHAnsi"/>
                <w:sz w:val="19"/>
                <w:szCs w:val="19"/>
              </w:rPr>
              <w:t>Głębokość ramienia C ≥ 68 cm (głębokość od osi wiązki do wewnętrznej powierzchni ramienia C)</w:t>
            </w:r>
          </w:p>
        </w:tc>
        <w:tc>
          <w:tcPr>
            <w:tcW w:w="1134"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TAK,</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podać</w:t>
            </w:r>
          </w:p>
        </w:tc>
        <w:tc>
          <w:tcPr>
            <w:tcW w:w="2485"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Równe 68 cm – 0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za każdy kolejny 1 cm powyżej 68 cm – 1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np.</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69 cm – 1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70 cm – 2 pkt.</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sz w:val="19"/>
                <w:szCs w:val="19"/>
              </w:rPr>
              <w:t>itd.</w:t>
            </w:r>
          </w:p>
        </w:tc>
        <w:tc>
          <w:tcPr>
            <w:tcW w:w="1559"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p>
        </w:tc>
      </w:tr>
      <w:tr w:rsidR="00DA6B1D" w:rsidRPr="00956BE7" w:rsidTr="00956BE7">
        <w:trPr>
          <w:trHeight w:val="301"/>
        </w:trPr>
        <w:tc>
          <w:tcPr>
            <w:tcW w:w="993" w:type="dxa"/>
            <w:tcBorders>
              <w:top w:val="nil"/>
              <w:left w:val="single" w:sz="4" w:space="0" w:color="auto"/>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2.7.</w:t>
            </w:r>
          </w:p>
        </w:tc>
        <w:tc>
          <w:tcPr>
            <w:tcW w:w="4252"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rPr>
                <w:rFonts w:cstheme="minorHAnsi"/>
                <w:sz w:val="19"/>
                <w:szCs w:val="19"/>
              </w:rPr>
            </w:pPr>
            <w:r w:rsidRPr="00956BE7">
              <w:rPr>
                <w:rFonts w:cstheme="minorHAnsi"/>
                <w:sz w:val="19"/>
                <w:szCs w:val="19"/>
              </w:rPr>
              <w:t>SID – odległość ognisko - detektor &gt; 104 cm</w:t>
            </w:r>
          </w:p>
        </w:tc>
        <w:tc>
          <w:tcPr>
            <w:tcW w:w="1134"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TAK,</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podać</w:t>
            </w:r>
          </w:p>
        </w:tc>
        <w:tc>
          <w:tcPr>
            <w:tcW w:w="2485"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Równe 104 cm – 0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za każdy kolejny 1 cm powyżej 104cm – 1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np.</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105 cm – 1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106 cm – 2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itd.</w:t>
            </w:r>
          </w:p>
        </w:tc>
        <w:tc>
          <w:tcPr>
            <w:tcW w:w="1559"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p>
        </w:tc>
      </w:tr>
      <w:tr w:rsidR="00DA6B1D" w:rsidRPr="00956BE7" w:rsidTr="00956BE7">
        <w:trPr>
          <w:trHeight w:val="301"/>
        </w:trPr>
        <w:tc>
          <w:tcPr>
            <w:tcW w:w="993" w:type="dxa"/>
            <w:tcBorders>
              <w:top w:val="nil"/>
              <w:left w:val="single" w:sz="4" w:space="0" w:color="auto"/>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2.5.</w:t>
            </w:r>
          </w:p>
        </w:tc>
        <w:tc>
          <w:tcPr>
            <w:tcW w:w="4252"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rPr>
                <w:rFonts w:cstheme="minorHAnsi"/>
                <w:sz w:val="19"/>
                <w:szCs w:val="19"/>
              </w:rPr>
            </w:pPr>
            <w:r w:rsidRPr="00956BE7">
              <w:rPr>
                <w:rFonts w:cstheme="minorHAnsi"/>
                <w:sz w:val="19"/>
                <w:szCs w:val="19"/>
              </w:rPr>
              <w:t>Zmotoryzowany ruch pionowy ramienia C w zakresie  ≥ 42 cm</w:t>
            </w:r>
          </w:p>
        </w:tc>
        <w:tc>
          <w:tcPr>
            <w:tcW w:w="1134"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TAK,</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podać</w:t>
            </w:r>
          </w:p>
        </w:tc>
        <w:tc>
          <w:tcPr>
            <w:tcW w:w="2485"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Równe 42 cm – 0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za każdy kolejny 1 cm powyżej 42cm – 1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np.</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43 cm – 1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44 cm – 2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itd.</w:t>
            </w:r>
          </w:p>
        </w:tc>
        <w:tc>
          <w:tcPr>
            <w:tcW w:w="1559"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p>
        </w:tc>
      </w:tr>
      <w:tr w:rsidR="00DA6B1D" w:rsidRPr="00956BE7" w:rsidTr="00956BE7">
        <w:trPr>
          <w:trHeight w:val="301"/>
        </w:trPr>
        <w:tc>
          <w:tcPr>
            <w:tcW w:w="993" w:type="dxa"/>
            <w:tcBorders>
              <w:top w:val="nil"/>
              <w:left w:val="single" w:sz="4" w:space="0" w:color="auto"/>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4.2.</w:t>
            </w:r>
          </w:p>
        </w:tc>
        <w:tc>
          <w:tcPr>
            <w:tcW w:w="4252"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rPr>
                <w:rFonts w:cstheme="minorHAnsi"/>
                <w:sz w:val="19"/>
                <w:szCs w:val="19"/>
              </w:rPr>
            </w:pPr>
            <w:r w:rsidRPr="00956BE7">
              <w:rPr>
                <w:rFonts w:cstheme="minorHAnsi"/>
                <w:sz w:val="19"/>
                <w:szCs w:val="19"/>
              </w:rPr>
              <w:t>Wymiar dużego ogniska [mm] ≤ 0,6 mm</w:t>
            </w:r>
          </w:p>
        </w:tc>
        <w:tc>
          <w:tcPr>
            <w:tcW w:w="1134"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TAK,</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podać</w:t>
            </w:r>
          </w:p>
        </w:tc>
        <w:tc>
          <w:tcPr>
            <w:tcW w:w="2485"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Równe 0.6 mm – 0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za każdy kolejny 1 mm poniżej 0.6 cm – 5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np.</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0.5 cm – 5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0.4 cm – 10 pkt.</w:t>
            </w:r>
          </w:p>
          <w:p w:rsidR="00DA6B1D" w:rsidRPr="00956BE7" w:rsidRDefault="00DA6B1D" w:rsidP="00DA6B1D">
            <w:pPr>
              <w:suppressAutoHyphens/>
              <w:spacing w:line="240" w:lineRule="auto"/>
              <w:jc w:val="center"/>
              <w:rPr>
                <w:rFonts w:cstheme="minorHAnsi"/>
                <w:sz w:val="19"/>
                <w:szCs w:val="19"/>
              </w:rPr>
            </w:pPr>
          </w:p>
        </w:tc>
        <w:tc>
          <w:tcPr>
            <w:tcW w:w="1559"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p>
        </w:tc>
      </w:tr>
      <w:tr w:rsidR="00DA6B1D" w:rsidRPr="00956BE7" w:rsidTr="00956BE7">
        <w:trPr>
          <w:trHeight w:val="301"/>
        </w:trPr>
        <w:tc>
          <w:tcPr>
            <w:tcW w:w="993" w:type="dxa"/>
            <w:tcBorders>
              <w:top w:val="nil"/>
              <w:left w:val="single" w:sz="4" w:space="0" w:color="auto"/>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7.6.</w:t>
            </w:r>
          </w:p>
        </w:tc>
        <w:tc>
          <w:tcPr>
            <w:tcW w:w="4252"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rPr>
                <w:rFonts w:cstheme="minorHAnsi"/>
                <w:sz w:val="19"/>
                <w:szCs w:val="19"/>
              </w:rPr>
            </w:pPr>
            <w:r w:rsidRPr="00956BE7">
              <w:rPr>
                <w:rFonts w:cstheme="minorHAnsi"/>
                <w:sz w:val="19"/>
                <w:szCs w:val="19"/>
              </w:rPr>
              <w:t>Pamięć obrazów statycznych jak i CINE min. 100 000 obrazów</w:t>
            </w:r>
          </w:p>
        </w:tc>
        <w:tc>
          <w:tcPr>
            <w:tcW w:w="1134"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TAK,</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podać</w:t>
            </w:r>
          </w:p>
        </w:tc>
        <w:tc>
          <w:tcPr>
            <w:tcW w:w="2485"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Równe 100 000 obrazów – 0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za każdy kolejny 10 000 obrazów powyżej 100 000 obrazów – 2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lastRenderedPageBreak/>
              <w:t>np.</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110 000 obrazów– 2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110 000 obrazów – 4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itd.</w:t>
            </w:r>
          </w:p>
        </w:tc>
        <w:tc>
          <w:tcPr>
            <w:tcW w:w="1559"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lastRenderedPageBreak/>
              <w:t>TAK</w:t>
            </w:r>
          </w:p>
        </w:tc>
      </w:tr>
      <w:tr w:rsidR="00DA6B1D" w:rsidRPr="00956BE7" w:rsidTr="00956BE7">
        <w:trPr>
          <w:trHeight w:val="301"/>
        </w:trPr>
        <w:tc>
          <w:tcPr>
            <w:tcW w:w="993" w:type="dxa"/>
            <w:tcBorders>
              <w:top w:val="single" w:sz="4" w:space="0" w:color="auto"/>
              <w:left w:val="single" w:sz="4" w:space="0" w:color="auto"/>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6.16.</w:t>
            </w:r>
          </w:p>
        </w:tc>
        <w:tc>
          <w:tcPr>
            <w:tcW w:w="4252" w:type="dxa"/>
            <w:tcBorders>
              <w:top w:val="single" w:sz="4" w:space="0" w:color="auto"/>
              <w:left w:val="nil"/>
              <w:bottom w:val="single" w:sz="4" w:space="0" w:color="auto"/>
              <w:right w:val="single" w:sz="4" w:space="0" w:color="auto"/>
            </w:tcBorders>
            <w:vAlign w:val="center"/>
          </w:tcPr>
          <w:p w:rsidR="00DA6B1D" w:rsidRPr="00956BE7" w:rsidRDefault="00DA6B1D" w:rsidP="00DA6B1D">
            <w:pPr>
              <w:suppressAutoHyphens/>
              <w:spacing w:line="240" w:lineRule="auto"/>
              <w:rPr>
                <w:rFonts w:cstheme="minorHAnsi"/>
                <w:sz w:val="19"/>
                <w:szCs w:val="19"/>
              </w:rPr>
            </w:pPr>
            <w:r w:rsidRPr="00956BE7">
              <w:rPr>
                <w:rFonts w:cstheme="minorHAnsi"/>
                <w:sz w:val="19"/>
                <w:szCs w:val="19"/>
              </w:rPr>
              <w:t xml:space="preserve">Nagrywanie sekwencji min. CINE 25 </w:t>
            </w:r>
            <w:proofErr w:type="spellStart"/>
            <w:r w:rsidRPr="00956BE7">
              <w:rPr>
                <w:rFonts w:cstheme="minorHAnsi"/>
                <w:sz w:val="19"/>
                <w:szCs w:val="19"/>
              </w:rPr>
              <w:t>obr</w:t>
            </w:r>
            <w:proofErr w:type="spellEnd"/>
            <w:r w:rsidRPr="00956BE7">
              <w:rPr>
                <w:rFonts w:cstheme="minorHAnsi"/>
                <w:sz w:val="19"/>
                <w:szCs w:val="19"/>
              </w:rPr>
              <w:t>./s</w:t>
            </w:r>
          </w:p>
        </w:tc>
        <w:tc>
          <w:tcPr>
            <w:tcW w:w="1134" w:type="dxa"/>
            <w:tcBorders>
              <w:top w:val="single" w:sz="4" w:space="0" w:color="auto"/>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TAK,</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podać</w:t>
            </w:r>
          </w:p>
        </w:tc>
        <w:tc>
          <w:tcPr>
            <w:tcW w:w="2485" w:type="dxa"/>
            <w:tcBorders>
              <w:top w:val="single" w:sz="4" w:space="0" w:color="auto"/>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 xml:space="preserve">Równe 25 </w:t>
            </w:r>
            <w:proofErr w:type="spellStart"/>
            <w:r w:rsidRPr="00956BE7">
              <w:rPr>
                <w:rFonts w:cstheme="minorHAnsi"/>
                <w:sz w:val="19"/>
                <w:szCs w:val="19"/>
              </w:rPr>
              <w:t>obr</w:t>
            </w:r>
            <w:proofErr w:type="spellEnd"/>
            <w:r w:rsidRPr="00956BE7">
              <w:rPr>
                <w:rFonts w:cstheme="minorHAnsi"/>
                <w:sz w:val="19"/>
                <w:szCs w:val="19"/>
              </w:rPr>
              <w:t>./s – 0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 xml:space="preserve">za każdy kolejny 1 </w:t>
            </w:r>
            <w:proofErr w:type="spellStart"/>
            <w:r w:rsidRPr="00956BE7">
              <w:rPr>
                <w:rFonts w:cstheme="minorHAnsi"/>
                <w:sz w:val="19"/>
                <w:szCs w:val="19"/>
              </w:rPr>
              <w:t>obr</w:t>
            </w:r>
            <w:proofErr w:type="spellEnd"/>
            <w:r w:rsidRPr="00956BE7">
              <w:rPr>
                <w:rFonts w:cstheme="minorHAnsi"/>
                <w:sz w:val="19"/>
                <w:szCs w:val="19"/>
              </w:rPr>
              <w:t xml:space="preserve">./s powyżej 25 </w:t>
            </w:r>
            <w:proofErr w:type="spellStart"/>
            <w:r w:rsidRPr="00956BE7">
              <w:rPr>
                <w:rFonts w:cstheme="minorHAnsi"/>
                <w:sz w:val="19"/>
                <w:szCs w:val="19"/>
              </w:rPr>
              <w:t>obr</w:t>
            </w:r>
            <w:proofErr w:type="spellEnd"/>
            <w:r w:rsidRPr="00956BE7">
              <w:rPr>
                <w:rFonts w:cstheme="minorHAnsi"/>
                <w:sz w:val="19"/>
                <w:szCs w:val="19"/>
              </w:rPr>
              <w:t>./s – 1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np.</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 xml:space="preserve">26 </w:t>
            </w:r>
            <w:proofErr w:type="spellStart"/>
            <w:r w:rsidRPr="00956BE7">
              <w:rPr>
                <w:rFonts w:cstheme="minorHAnsi"/>
                <w:sz w:val="19"/>
                <w:szCs w:val="19"/>
              </w:rPr>
              <w:t>obr</w:t>
            </w:r>
            <w:proofErr w:type="spellEnd"/>
            <w:r w:rsidRPr="00956BE7">
              <w:rPr>
                <w:rFonts w:cstheme="minorHAnsi"/>
                <w:sz w:val="19"/>
                <w:szCs w:val="19"/>
              </w:rPr>
              <w:t>./s cm – 1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 xml:space="preserve">27 </w:t>
            </w:r>
            <w:proofErr w:type="spellStart"/>
            <w:r w:rsidRPr="00956BE7">
              <w:rPr>
                <w:rFonts w:cstheme="minorHAnsi"/>
                <w:sz w:val="19"/>
                <w:szCs w:val="19"/>
              </w:rPr>
              <w:t>obr</w:t>
            </w:r>
            <w:proofErr w:type="spellEnd"/>
            <w:r w:rsidRPr="00956BE7">
              <w:rPr>
                <w:rFonts w:cstheme="minorHAnsi"/>
                <w:sz w:val="19"/>
                <w:szCs w:val="19"/>
              </w:rPr>
              <w:t>./s – 2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itd.</w:t>
            </w:r>
          </w:p>
        </w:tc>
        <w:tc>
          <w:tcPr>
            <w:tcW w:w="1559" w:type="dxa"/>
            <w:tcBorders>
              <w:top w:val="single" w:sz="4" w:space="0" w:color="auto"/>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p>
        </w:tc>
      </w:tr>
      <w:tr w:rsidR="00DA6B1D" w:rsidRPr="00956BE7" w:rsidTr="00956BE7">
        <w:trPr>
          <w:trHeight w:val="301"/>
        </w:trPr>
        <w:tc>
          <w:tcPr>
            <w:tcW w:w="993" w:type="dxa"/>
            <w:tcBorders>
              <w:top w:val="nil"/>
              <w:left w:val="single" w:sz="4" w:space="0" w:color="auto"/>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3.7.</w:t>
            </w:r>
          </w:p>
        </w:tc>
        <w:tc>
          <w:tcPr>
            <w:tcW w:w="4252"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rPr>
                <w:rFonts w:cstheme="minorHAnsi"/>
                <w:sz w:val="19"/>
                <w:szCs w:val="19"/>
              </w:rPr>
            </w:pPr>
            <w:r w:rsidRPr="00956BE7">
              <w:rPr>
                <w:rFonts w:cstheme="minorHAnsi"/>
                <w:sz w:val="19"/>
                <w:szCs w:val="19"/>
              </w:rPr>
              <w:t xml:space="preserve">Maksymalna częstość impulsów nie mniejsza niż 25 </w:t>
            </w:r>
            <w:proofErr w:type="spellStart"/>
            <w:r w:rsidRPr="00956BE7">
              <w:rPr>
                <w:rFonts w:cstheme="minorHAnsi"/>
                <w:sz w:val="19"/>
                <w:szCs w:val="19"/>
              </w:rPr>
              <w:t>imp</w:t>
            </w:r>
            <w:proofErr w:type="spellEnd"/>
            <w:r w:rsidRPr="00956BE7">
              <w:rPr>
                <w:rFonts w:cstheme="minorHAnsi"/>
                <w:sz w:val="19"/>
                <w:szCs w:val="19"/>
              </w:rPr>
              <w:t>/</w:t>
            </w:r>
            <w:proofErr w:type="spellStart"/>
            <w:r w:rsidRPr="00956BE7">
              <w:rPr>
                <w:rFonts w:cstheme="minorHAnsi"/>
                <w:sz w:val="19"/>
                <w:szCs w:val="19"/>
              </w:rPr>
              <w:t>sek</w:t>
            </w:r>
            <w:proofErr w:type="spellEnd"/>
          </w:p>
        </w:tc>
        <w:tc>
          <w:tcPr>
            <w:tcW w:w="1134"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TAK,</w:t>
            </w:r>
          </w:p>
          <w:p w:rsidR="00DA6B1D" w:rsidRPr="00956BE7" w:rsidRDefault="00DA6B1D" w:rsidP="00DA6B1D">
            <w:pPr>
              <w:suppressAutoHyphens/>
              <w:spacing w:line="240" w:lineRule="auto"/>
              <w:jc w:val="center"/>
              <w:rPr>
                <w:rFonts w:cstheme="minorHAnsi"/>
                <w:color w:val="000000"/>
                <w:sz w:val="19"/>
                <w:szCs w:val="19"/>
              </w:rPr>
            </w:pPr>
            <w:r w:rsidRPr="00956BE7">
              <w:rPr>
                <w:rFonts w:cstheme="minorHAnsi"/>
                <w:color w:val="000000"/>
                <w:sz w:val="19"/>
                <w:szCs w:val="19"/>
              </w:rPr>
              <w:t>podać</w:t>
            </w:r>
          </w:p>
        </w:tc>
        <w:tc>
          <w:tcPr>
            <w:tcW w:w="2485"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 xml:space="preserve">Równe 25 </w:t>
            </w:r>
            <w:proofErr w:type="spellStart"/>
            <w:r w:rsidRPr="00956BE7">
              <w:rPr>
                <w:rFonts w:cstheme="minorHAnsi"/>
                <w:sz w:val="19"/>
                <w:szCs w:val="19"/>
              </w:rPr>
              <w:t>imp</w:t>
            </w:r>
            <w:proofErr w:type="spellEnd"/>
            <w:r w:rsidRPr="00956BE7">
              <w:rPr>
                <w:rFonts w:cstheme="minorHAnsi"/>
                <w:sz w:val="19"/>
                <w:szCs w:val="19"/>
              </w:rPr>
              <w:t>./</w:t>
            </w:r>
            <w:proofErr w:type="spellStart"/>
            <w:r w:rsidRPr="00956BE7">
              <w:rPr>
                <w:rFonts w:cstheme="minorHAnsi"/>
                <w:sz w:val="19"/>
                <w:szCs w:val="19"/>
              </w:rPr>
              <w:t>sek</w:t>
            </w:r>
            <w:proofErr w:type="spellEnd"/>
            <w:r w:rsidRPr="00956BE7">
              <w:rPr>
                <w:rFonts w:cstheme="minorHAnsi"/>
                <w:sz w:val="19"/>
                <w:szCs w:val="19"/>
              </w:rPr>
              <w:t xml:space="preserve"> – 0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 xml:space="preserve">za każdy kolejny 1 </w:t>
            </w:r>
            <w:proofErr w:type="spellStart"/>
            <w:r w:rsidRPr="00956BE7">
              <w:rPr>
                <w:rFonts w:cstheme="minorHAnsi"/>
                <w:sz w:val="19"/>
                <w:szCs w:val="19"/>
              </w:rPr>
              <w:t>imp</w:t>
            </w:r>
            <w:proofErr w:type="spellEnd"/>
            <w:r w:rsidRPr="00956BE7">
              <w:rPr>
                <w:rFonts w:cstheme="minorHAnsi"/>
                <w:sz w:val="19"/>
                <w:szCs w:val="19"/>
              </w:rPr>
              <w:t>./</w:t>
            </w:r>
            <w:proofErr w:type="spellStart"/>
            <w:r w:rsidRPr="00956BE7">
              <w:rPr>
                <w:rFonts w:cstheme="minorHAnsi"/>
                <w:sz w:val="19"/>
                <w:szCs w:val="19"/>
              </w:rPr>
              <w:t>sek</w:t>
            </w:r>
            <w:proofErr w:type="spellEnd"/>
            <w:r w:rsidRPr="00956BE7">
              <w:rPr>
                <w:rFonts w:cstheme="minorHAnsi"/>
                <w:sz w:val="19"/>
                <w:szCs w:val="19"/>
              </w:rPr>
              <w:t xml:space="preserve"> powyżej 25 </w:t>
            </w:r>
            <w:proofErr w:type="spellStart"/>
            <w:r w:rsidRPr="00956BE7">
              <w:rPr>
                <w:rFonts w:cstheme="minorHAnsi"/>
                <w:sz w:val="19"/>
                <w:szCs w:val="19"/>
              </w:rPr>
              <w:t>imp</w:t>
            </w:r>
            <w:proofErr w:type="spellEnd"/>
            <w:r w:rsidRPr="00956BE7">
              <w:rPr>
                <w:rFonts w:cstheme="minorHAnsi"/>
                <w:sz w:val="19"/>
                <w:szCs w:val="19"/>
              </w:rPr>
              <w:t>./</w:t>
            </w:r>
            <w:proofErr w:type="spellStart"/>
            <w:r w:rsidRPr="00956BE7">
              <w:rPr>
                <w:rFonts w:cstheme="minorHAnsi"/>
                <w:sz w:val="19"/>
                <w:szCs w:val="19"/>
              </w:rPr>
              <w:t>sek</w:t>
            </w:r>
            <w:proofErr w:type="spellEnd"/>
            <w:r w:rsidRPr="00956BE7">
              <w:rPr>
                <w:rFonts w:cstheme="minorHAnsi"/>
                <w:sz w:val="19"/>
                <w:szCs w:val="19"/>
              </w:rPr>
              <w:t xml:space="preserve"> – 1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np.</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 xml:space="preserve">26 </w:t>
            </w:r>
            <w:proofErr w:type="spellStart"/>
            <w:r w:rsidRPr="00956BE7">
              <w:rPr>
                <w:rFonts w:cstheme="minorHAnsi"/>
                <w:sz w:val="19"/>
                <w:szCs w:val="19"/>
              </w:rPr>
              <w:t>imp</w:t>
            </w:r>
            <w:proofErr w:type="spellEnd"/>
            <w:r w:rsidRPr="00956BE7">
              <w:rPr>
                <w:rFonts w:cstheme="minorHAnsi"/>
                <w:sz w:val="19"/>
                <w:szCs w:val="19"/>
              </w:rPr>
              <w:t>./</w:t>
            </w:r>
            <w:proofErr w:type="spellStart"/>
            <w:r w:rsidRPr="00956BE7">
              <w:rPr>
                <w:rFonts w:cstheme="minorHAnsi"/>
                <w:sz w:val="19"/>
                <w:szCs w:val="19"/>
              </w:rPr>
              <w:t>sek</w:t>
            </w:r>
            <w:proofErr w:type="spellEnd"/>
            <w:r w:rsidRPr="00956BE7">
              <w:rPr>
                <w:rFonts w:cstheme="minorHAnsi"/>
                <w:sz w:val="19"/>
                <w:szCs w:val="19"/>
              </w:rPr>
              <w:t xml:space="preserve"> – 1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 xml:space="preserve">27 </w:t>
            </w:r>
            <w:proofErr w:type="spellStart"/>
            <w:r w:rsidRPr="00956BE7">
              <w:rPr>
                <w:rFonts w:cstheme="minorHAnsi"/>
                <w:sz w:val="19"/>
                <w:szCs w:val="19"/>
              </w:rPr>
              <w:t>imp</w:t>
            </w:r>
            <w:proofErr w:type="spellEnd"/>
            <w:r w:rsidRPr="00956BE7">
              <w:rPr>
                <w:rFonts w:cstheme="minorHAnsi"/>
                <w:sz w:val="19"/>
                <w:szCs w:val="19"/>
              </w:rPr>
              <w:t>./</w:t>
            </w:r>
            <w:proofErr w:type="spellStart"/>
            <w:r w:rsidRPr="00956BE7">
              <w:rPr>
                <w:rFonts w:cstheme="minorHAnsi"/>
                <w:sz w:val="19"/>
                <w:szCs w:val="19"/>
              </w:rPr>
              <w:t>sek</w:t>
            </w:r>
            <w:proofErr w:type="spellEnd"/>
            <w:r w:rsidRPr="00956BE7">
              <w:rPr>
                <w:rFonts w:cstheme="minorHAnsi"/>
                <w:sz w:val="19"/>
                <w:szCs w:val="19"/>
              </w:rPr>
              <w:t xml:space="preserve"> – 2 pkt.</w:t>
            </w:r>
          </w:p>
          <w:p w:rsidR="00DA6B1D" w:rsidRPr="00956BE7" w:rsidRDefault="00DA6B1D" w:rsidP="00DA6B1D">
            <w:pPr>
              <w:suppressAutoHyphens/>
              <w:spacing w:line="240" w:lineRule="auto"/>
              <w:jc w:val="center"/>
              <w:rPr>
                <w:rFonts w:cstheme="minorHAnsi"/>
                <w:sz w:val="19"/>
                <w:szCs w:val="19"/>
              </w:rPr>
            </w:pPr>
            <w:r w:rsidRPr="00956BE7">
              <w:rPr>
                <w:rFonts w:cstheme="minorHAnsi"/>
                <w:sz w:val="19"/>
                <w:szCs w:val="19"/>
              </w:rPr>
              <w:t>itd.</w:t>
            </w:r>
          </w:p>
        </w:tc>
        <w:tc>
          <w:tcPr>
            <w:tcW w:w="1559" w:type="dxa"/>
            <w:tcBorders>
              <w:top w:val="nil"/>
              <w:left w:val="nil"/>
              <w:bottom w:val="single" w:sz="4" w:space="0" w:color="auto"/>
              <w:right w:val="single" w:sz="4" w:space="0" w:color="auto"/>
            </w:tcBorders>
            <w:vAlign w:val="center"/>
          </w:tcPr>
          <w:p w:rsidR="00DA6B1D" w:rsidRPr="00956BE7" w:rsidRDefault="00DA6B1D" w:rsidP="00DA6B1D">
            <w:pPr>
              <w:suppressAutoHyphens/>
              <w:spacing w:line="240" w:lineRule="auto"/>
              <w:jc w:val="center"/>
              <w:rPr>
                <w:rFonts w:cstheme="minorHAnsi"/>
                <w:color w:val="000000"/>
                <w:sz w:val="19"/>
                <w:szCs w:val="19"/>
              </w:rPr>
            </w:pPr>
          </w:p>
        </w:tc>
      </w:tr>
    </w:tbl>
    <w:p w:rsidR="00DA6B1D" w:rsidRPr="00956BE7" w:rsidRDefault="00DA6B1D" w:rsidP="00DA6B1D">
      <w:pPr>
        <w:pStyle w:val="Textbody"/>
        <w:jc w:val="both"/>
        <w:rPr>
          <w:rFonts w:asciiTheme="minorHAnsi" w:hAnsiTheme="minorHAnsi" w:cstheme="minorHAnsi"/>
          <w:b w:val="0"/>
          <w:i w:val="0"/>
          <w:sz w:val="19"/>
          <w:szCs w:val="19"/>
        </w:rPr>
      </w:pP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Czy Zamawiający zmodyfikuje wymogi SIWZ zgodnie z powyższym?</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shd w:val="clear" w:color="auto" w:fill="E2EFD9"/>
        </w:rPr>
        <w:t xml:space="preserve">Zamawiający nie wprowadza modyfikacji. </w:t>
      </w:r>
    </w:p>
    <w:p w:rsidR="00DA6B1D" w:rsidRPr="00956BE7" w:rsidRDefault="00DA6B1D" w:rsidP="00DA6B1D">
      <w:pPr>
        <w:pStyle w:val="Textbody"/>
        <w:jc w:val="both"/>
        <w:rPr>
          <w:rFonts w:asciiTheme="minorHAnsi" w:hAnsiTheme="minorHAnsi" w:cstheme="minorHAnsi"/>
          <w:bCs/>
          <w:i w:val="0"/>
          <w:sz w:val="19"/>
          <w:szCs w:val="19"/>
        </w:rPr>
      </w:pPr>
    </w:p>
    <w:p w:rsidR="00DA6B1D" w:rsidRPr="00956BE7" w:rsidRDefault="00DA6B1D" w:rsidP="00DA6B1D">
      <w:pPr>
        <w:pStyle w:val="Textbody"/>
        <w:jc w:val="both"/>
        <w:rPr>
          <w:rFonts w:asciiTheme="minorHAnsi" w:hAnsiTheme="minorHAnsi" w:cstheme="minorHAnsi"/>
          <w:b w:val="0"/>
          <w:bCs/>
          <w:i w:val="0"/>
          <w:sz w:val="19"/>
          <w:szCs w:val="19"/>
        </w:rPr>
      </w:pPr>
      <w:r w:rsidRPr="00956BE7">
        <w:rPr>
          <w:rFonts w:asciiTheme="minorHAnsi" w:hAnsiTheme="minorHAnsi" w:cstheme="minorHAnsi"/>
          <w:bCs/>
          <w:i w:val="0"/>
          <w:sz w:val="19"/>
          <w:szCs w:val="19"/>
        </w:rPr>
        <w:t xml:space="preserve">Pytanie 3, </w:t>
      </w:r>
      <w:r w:rsidRPr="00956BE7">
        <w:rPr>
          <w:rFonts w:asciiTheme="minorHAnsi" w:hAnsiTheme="minorHAnsi" w:cstheme="minorHAnsi"/>
          <w:b w:val="0"/>
          <w:bCs/>
          <w:i w:val="0"/>
          <w:sz w:val="19"/>
          <w:szCs w:val="19"/>
        </w:rPr>
        <w:t>Dotyczy zapisów SWZ, rozdział II, Umowa, §4 ust. 1 lit. b)</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 xml:space="preserve">Prosimy o potwierdzenie, że Zamawiający uzna wymienioną część lub istotną naprawę skutkującą rozpoczęciem biegu gwarancji na nowo, taką część lub naprawę, której koszt przekracza 40% ceny brutto urządzenia. W pozostałych przypadkach </w:t>
      </w:r>
      <w:r w:rsidRPr="00956BE7">
        <w:rPr>
          <w:rFonts w:asciiTheme="minorHAnsi" w:hAnsiTheme="minorHAnsi" w:cstheme="minorHAnsi"/>
          <w:b w:val="0"/>
          <w:i w:val="0"/>
          <w:sz w:val="19"/>
          <w:szCs w:val="19"/>
          <w:lang w:eastAsia="ar-SA"/>
        </w:rPr>
        <w:t>Wykonawca udzieli gwarancji na wymienione podczas naprawy przedmiotu umowy podzespoły zgodnie z gwarancją udzieloną przez producenta albo do upływu terminu gwarancji na całe urządzenie, w zależności który termin upłynie później.</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Zgodnie z SWZ.</w:t>
      </w:r>
    </w:p>
    <w:p w:rsidR="00DA6B1D" w:rsidRPr="00956BE7" w:rsidRDefault="00DA6B1D" w:rsidP="00DA6B1D">
      <w:pPr>
        <w:pStyle w:val="Textbody"/>
        <w:jc w:val="both"/>
        <w:rPr>
          <w:rFonts w:asciiTheme="minorHAnsi" w:hAnsiTheme="minorHAnsi" w:cstheme="minorHAnsi"/>
          <w:sz w:val="19"/>
          <w:szCs w:val="19"/>
        </w:rPr>
      </w:pP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 xml:space="preserve">Pytanie 4, </w:t>
      </w:r>
      <w:r w:rsidRPr="00956BE7">
        <w:rPr>
          <w:rFonts w:asciiTheme="minorHAnsi" w:hAnsiTheme="minorHAnsi" w:cstheme="minorHAnsi"/>
          <w:b w:val="0"/>
          <w:bCs/>
          <w:i w:val="0"/>
          <w:sz w:val="19"/>
          <w:szCs w:val="19"/>
        </w:rPr>
        <w:t>Dotyczy zapisów SWZ, rozdział II, Umowa, §8 ust. 1 lit. a)</w:t>
      </w:r>
    </w:p>
    <w:p w:rsidR="00DA6B1D" w:rsidRPr="00956BE7" w:rsidRDefault="00DA6B1D" w:rsidP="00DA6B1D">
      <w:pPr>
        <w:spacing w:line="240" w:lineRule="auto"/>
        <w:rPr>
          <w:rFonts w:cstheme="minorHAnsi"/>
          <w:sz w:val="19"/>
          <w:szCs w:val="19"/>
        </w:rPr>
      </w:pPr>
      <w:r w:rsidRPr="00956BE7">
        <w:rPr>
          <w:rFonts w:cstheme="minorHAnsi"/>
          <w:sz w:val="19"/>
          <w:szCs w:val="19"/>
        </w:rPr>
        <w:t xml:space="preserve">Czy </w:t>
      </w:r>
      <w:proofErr w:type="spellStart"/>
      <w:r w:rsidRPr="00956BE7">
        <w:rPr>
          <w:rFonts w:cstheme="minorHAnsi"/>
          <w:sz w:val="19"/>
          <w:szCs w:val="19"/>
        </w:rPr>
        <w:t>Zamawiajacy</w:t>
      </w:r>
      <w:proofErr w:type="spellEnd"/>
      <w:r w:rsidRPr="00956BE7">
        <w:rPr>
          <w:rFonts w:cstheme="minorHAnsi"/>
          <w:sz w:val="19"/>
          <w:szCs w:val="19"/>
        </w:rPr>
        <w:t xml:space="preserve"> wyrazi zgodę na modyfikację w/w zapisu na: „w przypadku opóźnienia w przekazaniu sprzętu w rozumieniu § 2 niniejszej umowy – w wysokości </w:t>
      </w:r>
      <w:r w:rsidRPr="00956BE7">
        <w:rPr>
          <w:rFonts w:cstheme="minorHAnsi"/>
          <w:b/>
          <w:bCs/>
          <w:strike/>
          <w:sz w:val="19"/>
          <w:szCs w:val="19"/>
        </w:rPr>
        <w:t>10%</w:t>
      </w:r>
      <w:r w:rsidRPr="00956BE7">
        <w:rPr>
          <w:rFonts w:cstheme="minorHAnsi"/>
          <w:sz w:val="19"/>
          <w:szCs w:val="19"/>
        </w:rPr>
        <w:t xml:space="preserve"> </w:t>
      </w:r>
      <w:r w:rsidRPr="00956BE7">
        <w:rPr>
          <w:rFonts w:cstheme="minorHAnsi"/>
          <w:b/>
          <w:bCs/>
          <w:sz w:val="19"/>
          <w:szCs w:val="19"/>
          <w:u w:val="single"/>
        </w:rPr>
        <w:t>0,1%</w:t>
      </w:r>
      <w:r w:rsidRPr="00956BE7">
        <w:rPr>
          <w:rFonts w:cstheme="minorHAnsi"/>
          <w:sz w:val="19"/>
          <w:szCs w:val="19"/>
        </w:rPr>
        <w:t xml:space="preserve"> za każdy dzień zwłoki, licząc od wartości brutto umowy określonej w § 5 ust. 1“</w:t>
      </w:r>
    </w:p>
    <w:p w:rsidR="00DA6B1D" w:rsidRPr="00956BE7" w:rsidRDefault="00DA6B1D" w:rsidP="00DA6B1D">
      <w:pPr>
        <w:pStyle w:val="Tekstkomentarza"/>
        <w:jc w:val="both"/>
        <w:rPr>
          <w:rFonts w:asciiTheme="minorHAnsi" w:hAnsiTheme="minorHAnsi" w:cstheme="minorHAnsi"/>
          <w:sz w:val="19"/>
          <w:szCs w:val="19"/>
        </w:rPr>
      </w:pPr>
      <w:r w:rsidRPr="00956BE7">
        <w:rPr>
          <w:rFonts w:asciiTheme="minorHAnsi" w:hAnsiTheme="minorHAnsi" w:cstheme="minorHAnsi"/>
          <w:sz w:val="19"/>
          <w:szCs w:val="19"/>
        </w:rPr>
        <w:t>Uzasadnienie:</w:t>
      </w:r>
      <w:r w:rsidRPr="00956BE7">
        <w:rPr>
          <w:rFonts w:asciiTheme="minorHAnsi" w:hAnsiTheme="minorHAnsi" w:cstheme="minorHAnsi"/>
          <w:sz w:val="19"/>
          <w:szCs w:val="19"/>
        </w:rPr>
        <w:br/>
        <w:t>Prosimy o zmianę wysokości kary umownej poprzez jej zmniejszenie do 0,1% wartości umowy – wielkości powszechnie przyjętej zarówna w umowach z sektora publicznego jak i prywatnego. Zaproponowana wysokość kary umownej jest rażąco wysoka.</w:t>
      </w:r>
    </w:p>
    <w:p w:rsidR="00DA6B1D" w:rsidRPr="00956BE7" w:rsidRDefault="00DA6B1D" w:rsidP="00DA6B1D">
      <w:pPr>
        <w:widowControl w:val="0"/>
        <w:spacing w:line="240" w:lineRule="auto"/>
        <w:jc w:val="both"/>
        <w:rPr>
          <w:rFonts w:cstheme="minorHAnsi"/>
          <w:color w:val="202124"/>
          <w:sz w:val="19"/>
          <w:szCs w:val="19"/>
          <w:shd w:val="clear" w:color="auto" w:fill="FFFFFF"/>
        </w:rPr>
      </w:pPr>
      <w:r w:rsidRPr="00956BE7">
        <w:rPr>
          <w:rFonts w:cstheme="minorHAnsi"/>
          <w:sz w:val="19"/>
          <w:szCs w:val="19"/>
        </w:rPr>
        <w:t xml:space="preserve">Prosimy o zmianę poprzez powiązanie wysokości kary umownej z wartością niewykonanego zobowiązania. Zwracamy uwagę, że zgodnie z orzecznictwem zarówno sądów cywilnych (wyrok Sądu Apelacyjnego w Warszawie z 11.10.2016,  sygn. akt I </w:t>
      </w:r>
      <w:proofErr w:type="spellStart"/>
      <w:r w:rsidRPr="00956BE7">
        <w:rPr>
          <w:rFonts w:cstheme="minorHAnsi"/>
          <w:sz w:val="19"/>
          <w:szCs w:val="19"/>
        </w:rPr>
        <w:t>ACa</w:t>
      </w:r>
      <w:proofErr w:type="spellEnd"/>
      <w:r w:rsidRPr="00956BE7">
        <w:rPr>
          <w:rFonts w:cstheme="minorHAnsi"/>
          <w:sz w:val="19"/>
          <w:szCs w:val="19"/>
        </w:rPr>
        <w:t xml:space="preserve"> 1673/15, wyrok Sądu Najwyższego z 25.11.2016 sygn. Akt V CSK 123/16 ), jak również Krajowej Izby Odwoławczej (wyrok KIO z 15.02.2018 r), kara umowna, pełniąc funkcje odszkodowawczo – kompensacyjne, nie może być rażąco wygórowana. </w:t>
      </w:r>
      <w:r w:rsidRPr="00956BE7">
        <w:rPr>
          <w:rFonts w:cstheme="minorHAnsi"/>
          <w:color w:val="2D2D2D"/>
          <w:sz w:val="19"/>
          <w:szCs w:val="19"/>
        </w:rPr>
        <w:t>Zbyt represyjne reguły odpowiedzialności w karach umownych mogą zniechęcać do składania ofert i być przyczyną niewielkiego zainteresowania wykonawców  zamówieniem. To z kolei wpłynie na konkurencyjność postępowań, a niekiedy nawet zmusi  do ich unieważnienia.</w:t>
      </w:r>
      <w:r w:rsidRPr="00956BE7">
        <w:rPr>
          <w:rFonts w:cstheme="minorHAnsi"/>
          <w:color w:val="202124"/>
          <w:sz w:val="19"/>
          <w:szCs w:val="19"/>
          <w:shd w:val="clear" w:color="auto" w:fill="FFFFFF"/>
        </w:rPr>
        <w:t xml:space="preserve"> </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Zgodnie z SWZ.</w:t>
      </w:r>
    </w:p>
    <w:p w:rsidR="00DA6B1D" w:rsidRPr="00956BE7" w:rsidRDefault="00DA6B1D" w:rsidP="00DA6B1D">
      <w:pPr>
        <w:pStyle w:val="Textbody"/>
        <w:jc w:val="both"/>
        <w:rPr>
          <w:rFonts w:asciiTheme="minorHAnsi" w:hAnsiTheme="minorHAnsi" w:cstheme="minorHAnsi"/>
          <w:bCs/>
          <w:i w:val="0"/>
          <w:sz w:val="19"/>
          <w:szCs w:val="19"/>
        </w:rPr>
      </w:pP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 xml:space="preserve">Pytanie 5, </w:t>
      </w:r>
      <w:r w:rsidRPr="00956BE7">
        <w:rPr>
          <w:rFonts w:asciiTheme="minorHAnsi" w:hAnsiTheme="minorHAnsi" w:cstheme="minorHAnsi"/>
          <w:b w:val="0"/>
          <w:bCs/>
          <w:i w:val="0"/>
          <w:sz w:val="19"/>
          <w:szCs w:val="19"/>
        </w:rPr>
        <w:t>Dotyczy zapisów SWZ, rozdział II, Umowa, §8</w:t>
      </w:r>
    </w:p>
    <w:p w:rsidR="00DA6B1D" w:rsidRPr="00956BE7" w:rsidRDefault="00DA6B1D" w:rsidP="00DA6B1D">
      <w:pPr>
        <w:spacing w:line="240" w:lineRule="auto"/>
        <w:jc w:val="both"/>
        <w:rPr>
          <w:rFonts w:cstheme="minorHAnsi"/>
          <w:sz w:val="19"/>
          <w:szCs w:val="19"/>
        </w:rPr>
      </w:pPr>
      <w:r w:rsidRPr="00956BE7">
        <w:rPr>
          <w:rFonts w:cstheme="minorHAnsi"/>
          <w:sz w:val="19"/>
          <w:szCs w:val="19"/>
        </w:rPr>
        <w:t>Czy Zamawiający wyrazi zgodę na dodanie ustępu 6 w brzmieniu: „</w:t>
      </w:r>
      <w:bookmarkStart w:id="3" w:name="OLE_LINK3"/>
      <w:bookmarkStart w:id="4" w:name="OLE_LINK4"/>
      <w:bookmarkStart w:id="5" w:name="_Hlk10017133"/>
      <w:r w:rsidRPr="00956BE7">
        <w:rPr>
          <w:rFonts w:cstheme="minorHAnsi"/>
          <w:sz w:val="19"/>
          <w:szCs w:val="19"/>
        </w:rPr>
        <w:t xml:space="preserve">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w:t>
      </w:r>
      <w:r w:rsidRPr="00956BE7">
        <w:rPr>
          <w:rFonts w:cstheme="minorHAnsi"/>
          <w:sz w:val="19"/>
          <w:szCs w:val="19"/>
        </w:rPr>
        <w:lastRenderedPageBreak/>
        <w:t>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bookmarkEnd w:id="3"/>
      <w:bookmarkEnd w:id="4"/>
      <w:r w:rsidRPr="00956BE7">
        <w:rPr>
          <w:rFonts w:cstheme="minorHAnsi"/>
          <w:sz w:val="19"/>
          <w:szCs w:val="19"/>
        </w:rPr>
        <w:t>.“</w:t>
      </w:r>
    </w:p>
    <w:p w:rsidR="00DA6B1D" w:rsidRPr="00956BE7" w:rsidRDefault="00DA6B1D" w:rsidP="00DA6B1D">
      <w:pPr>
        <w:spacing w:line="240" w:lineRule="auto"/>
        <w:rPr>
          <w:rFonts w:cstheme="minorHAnsi"/>
          <w:sz w:val="19"/>
          <w:szCs w:val="19"/>
        </w:rPr>
      </w:pPr>
      <w:r w:rsidRPr="00956BE7">
        <w:rPr>
          <w:rFonts w:cstheme="minorHAnsi"/>
          <w:sz w:val="19"/>
          <w:szCs w:val="19"/>
        </w:rPr>
        <w:t xml:space="preserve">Uzasadnienie: </w:t>
      </w:r>
    </w:p>
    <w:bookmarkEnd w:id="5"/>
    <w:p w:rsidR="00DA6B1D" w:rsidRPr="00956BE7" w:rsidRDefault="00DA6B1D" w:rsidP="00DA6B1D">
      <w:pPr>
        <w:widowControl w:val="0"/>
        <w:spacing w:line="240" w:lineRule="auto"/>
        <w:jc w:val="both"/>
        <w:rPr>
          <w:rFonts w:eastAsia="Arial" w:cstheme="minorHAnsi"/>
          <w:color w:val="000000"/>
          <w:sz w:val="19"/>
          <w:szCs w:val="19"/>
        </w:rPr>
      </w:pPr>
      <w:r w:rsidRPr="00956BE7">
        <w:rPr>
          <w:rFonts w:cstheme="minorHAnsi"/>
          <w:sz w:val="19"/>
          <w:szCs w:val="19"/>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u w:val="single"/>
        </w:rPr>
      </w:pPr>
      <w:r w:rsidRPr="00956BE7">
        <w:rPr>
          <w:rFonts w:asciiTheme="minorHAnsi" w:hAnsiTheme="minorHAnsi" w:cstheme="minorHAnsi"/>
          <w:b w:val="0"/>
          <w:i w:val="0"/>
          <w:sz w:val="19"/>
          <w:szCs w:val="19"/>
        </w:rPr>
        <w:t>Zamawiający nie wyraża zgody, zgodnie z SWZ.</w:t>
      </w:r>
    </w:p>
    <w:p w:rsidR="00DA6B1D" w:rsidRPr="00956BE7" w:rsidRDefault="00DA6B1D" w:rsidP="00DA6B1D">
      <w:pPr>
        <w:pStyle w:val="Textbody"/>
        <w:jc w:val="both"/>
        <w:rPr>
          <w:rFonts w:asciiTheme="minorHAnsi" w:hAnsiTheme="minorHAnsi" w:cstheme="minorHAnsi"/>
          <w:sz w:val="19"/>
          <w:szCs w:val="19"/>
          <w:u w:val="single"/>
        </w:rPr>
      </w:pP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 xml:space="preserve">Pytanie 6, </w:t>
      </w:r>
      <w:r w:rsidRPr="00956BE7">
        <w:rPr>
          <w:rFonts w:asciiTheme="minorHAnsi" w:hAnsiTheme="minorHAnsi" w:cstheme="minorHAnsi"/>
          <w:b w:val="0"/>
          <w:bCs/>
          <w:i w:val="0"/>
          <w:sz w:val="19"/>
          <w:szCs w:val="19"/>
        </w:rPr>
        <w:t>Dotyczy zapisów SWZ, rozdział II, Umowa, §11 ust. 2 lit. e)</w:t>
      </w:r>
    </w:p>
    <w:p w:rsidR="00DA6B1D" w:rsidRPr="00956BE7" w:rsidRDefault="00DA6B1D" w:rsidP="00DA6B1D">
      <w:pPr>
        <w:pStyle w:val="Tekstkomentarza"/>
        <w:spacing w:after="200"/>
        <w:jc w:val="both"/>
        <w:rPr>
          <w:rFonts w:asciiTheme="minorHAnsi" w:hAnsiTheme="minorHAnsi" w:cstheme="minorHAnsi"/>
          <w:sz w:val="19"/>
          <w:szCs w:val="19"/>
        </w:rPr>
      </w:pPr>
      <w:r w:rsidRPr="00956BE7">
        <w:rPr>
          <w:rFonts w:asciiTheme="minorHAnsi" w:hAnsiTheme="minorHAnsi" w:cstheme="minorHAnsi"/>
          <w:sz w:val="19"/>
          <w:szCs w:val="19"/>
        </w:rPr>
        <w:t>Czy Zamawiający wyrazi zgodę na dodanie lit. e) w brzmieniu: „</w:t>
      </w:r>
      <w:bookmarkStart w:id="6" w:name="_Hlk47011378"/>
      <w:bookmarkStart w:id="7" w:name="_Hlk57197230"/>
      <w:bookmarkStart w:id="8" w:name="_Hlk45627971"/>
      <w:bookmarkStart w:id="9" w:name="_Hlk35801170"/>
      <w:r w:rsidRPr="00956BE7">
        <w:rPr>
          <w:rFonts w:asciiTheme="minorHAnsi" w:hAnsiTheme="minorHAnsi" w:cstheme="minorHAnsi"/>
          <w:sz w:val="19"/>
          <w:szCs w:val="19"/>
        </w:rPr>
        <w:t>Zamawiający dopuszcza zmianę terminu wykonania przedmiotu umowy w części lub w całości na wniosek Wykonawcy uzasadniony przyczynami wynikającymi lub związanymi z epidemią Covid-1</w:t>
      </w:r>
      <w:bookmarkEnd w:id="6"/>
      <w:bookmarkEnd w:id="7"/>
      <w:r w:rsidRPr="00956BE7">
        <w:rPr>
          <w:rFonts w:asciiTheme="minorHAnsi" w:hAnsiTheme="minorHAnsi" w:cstheme="minorHAnsi"/>
          <w:sz w:val="19"/>
          <w:szCs w:val="19"/>
        </w:rPr>
        <w:t>9”</w:t>
      </w:r>
      <w:bookmarkEnd w:id="8"/>
    </w:p>
    <w:bookmarkEnd w:id="9"/>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Uzasadnienie:</w:t>
      </w:r>
      <w:r w:rsidRPr="00956BE7">
        <w:rPr>
          <w:rFonts w:asciiTheme="minorHAnsi" w:hAnsiTheme="minorHAnsi" w:cstheme="minorHAnsi"/>
          <w:b w:val="0"/>
          <w:i w:val="0"/>
          <w:sz w:val="19"/>
          <w:szCs w:val="19"/>
        </w:rPr>
        <w:br/>
      </w:r>
      <w:bookmarkStart w:id="10" w:name="_Hlk35434903"/>
      <w:bookmarkStart w:id="11" w:name="_Hlk35431915"/>
      <w:bookmarkStart w:id="12" w:name="_Hlk35430077"/>
      <w:r w:rsidRPr="00956BE7">
        <w:rPr>
          <w:rFonts w:asciiTheme="minorHAnsi" w:hAnsiTheme="minorHAnsi" w:cstheme="minorHAnsi"/>
          <w:b w:val="0"/>
          <w:i w:val="0"/>
          <w:sz w:val="19"/>
          <w:szCs w:val="19"/>
        </w:rPr>
        <w:t xml:space="preserve">Pomimo podejmowania przez pytającego i spółki z jego grupy kapitałowej wzmożonych starań w celu dotrzymania zadeklarowanych terminów dostaw i wykonania usług, z powodu epidemii wirusa Covid-19 i związanych z nią działań służb sanitarnych wielu państw, mogą wystąpić opóźnienia w dostawach i wykonaniu usług dotyczące pytającego, jego  dostawców i podwykonawców. Dostawa/wykonanie usługi w konkretnym terminie uzależnione są od braku zakłóceń w łańcuchu dostaw, procesach produkcyjnych i logistycznych. </w:t>
      </w:r>
      <w:bookmarkEnd w:id="10"/>
      <w:bookmarkEnd w:id="11"/>
      <w:bookmarkEnd w:id="12"/>
      <w:r w:rsidRPr="00956BE7">
        <w:rPr>
          <w:rFonts w:asciiTheme="minorHAnsi" w:hAnsiTheme="minorHAnsi" w:cstheme="minorHAnsi"/>
          <w:b w:val="0"/>
          <w:i w:val="0"/>
          <w:sz w:val="19"/>
          <w:szCs w:val="19"/>
        </w:rPr>
        <w:t>Analogiczna sytuacja dotyczy innych wykonawców starających się o zamówienie.</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Zamawiający nie wyraża zgody, zgodnie z SWZ (patrz § 14 projektowanych postanowień umowy).</w:t>
      </w:r>
    </w:p>
    <w:p w:rsidR="00DA6B1D" w:rsidRPr="00956BE7" w:rsidRDefault="00DA6B1D" w:rsidP="00DA6B1D">
      <w:pPr>
        <w:pStyle w:val="Textbody"/>
        <w:jc w:val="both"/>
        <w:rPr>
          <w:rFonts w:asciiTheme="minorHAnsi" w:hAnsiTheme="minorHAnsi" w:cstheme="minorHAnsi"/>
          <w:bCs/>
          <w:i w:val="0"/>
          <w:sz w:val="19"/>
          <w:szCs w:val="19"/>
        </w:rPr>
      </w:pP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 xml:space="preserve">Pytanie 7, </w:t>
      </w:r>
      <w:r w:rsidRPr="00956BE7">
        <w:rPr>
          <w:rFonts w:asciiTheme="minorHAnsi" w:hAnsiTheme="minorHAnsi" w:cstheme="minorHAnsi"/>
          <w:b w:val="0"/>
          <w:bCs/>
          <w:i w:val="0"/>
          <w:sz w:val="19"/>
          <w:szCs w:val="19"/>
        </w:rPr>
        <w:t>Dotyczy zał. nr 2 do Umowy – Umowa powierzenia, §5</w:t>
      </w:r>
    </w:p>
    <w:p w:rsidR="00DA6B1D" w:rsidRPr="00956BE7" w:rsidRDefault="00DA6B1D" w:rsidP="00DA6B1D">
      <w:pPr>
        <w:spacing w:line="240" w:lineRule="auto"/>
        <w:rPr>
          <w:rFonts w:cstheme="minorHAnsi"/>
          <w:sz w:val="19"/>
          <w:szCs w:val="19"/>
        </w:rPr>
      </w:pPr>
      <w:r w:rsidRPr="00956BE7">
        <w:rPr>
          <w:rFonts w:cstheme="minorHAnsi"/>
          <w:sz w:val="19"/>
          <w:szCs w:val="19"/>
        </w:rPr>
        <w:t>Czy Zamawiający wyrazi zgodę na usunięcie zapisów z ustępu 1 oraz 2 i zastąpienie ich zapisem w brzmieniu:</w:t>
      </w:r>
    </w:p>
    <w:p w:rsidR="00DA6B1D" w:rsidRPr="00956BE7" w:rsidRDefault="00DA6B1D" w:rsidP="00DA6B1D">
      <w:pPr>
        <w:pStyle w:val="Akapitzlist"/>
        <w:numPr>
          <w:ilvl w:val="0"/>
          <w:numId w:val="10"/>
        </w:numPr>
        <w:spacing w:after="120"/>
        <w:ind w:left="567" w:hanging="567"/>
        <w:contextualSpacing/>
        <w:jc w:val="both"/>
        <w:rPr>
          <w:rFonts w:asciiTheme="minorHAnsi" w:hAnsiTheme="minorHAnsi" w:cstheme="minorHAnsi"/>
          <w:iCs/>
          <w:sz w:val="19"/>
          <w:szCs w:val="19"/>
        </w:rPr>
      </w:pPr>
      <w:bookmarkStart w:id="13" w:name="_Hlk41672875"/>
      <w:r w:rsidRPr="00956BE7">
        <w:rPr>
          <w:rFonts w:asciiTheme="minorHAnsi" w:hAnsiTheme="minorHAnsi" w:cstheme="minorHAnsi"/>
          <w:iCs/>
          <w:sz w:val="19"/>
          <w:szCs w:val="19"/>
        </w:rPr>
        <w:t xml:space="preserve">Podmiot </w:t>
      </w:r>
      <w:proofErr w:type="spellStart"/>
      <w:r w:rsidRPr="00956BE7">
        <w:rPr>
          <w:rFonts w:asciiTheme="minorHAnsi" w:hAnsiTheme="minorHAnsi" w:cstheme="minorHAnsi"/>
          <w:iCs/>
          <w:sz w:val="19"/>
          <w:szCs w:val="19"/>
        </w:rPr>
        <w:t>przetwarzajacy</w:t>
      </w:r>
      <w:proofErr w:type="spellEnd"/>
      <w:r w:rsidRPr="00956BE7">
        <w:rPr>
          <w:rFonts w:asciiTheme="minorHAnsi" w:hAnsiTheme="minorHAnsi" w:cstheme="minorHAnsi"/>
          <w:iCs/>
          <w:sz w:val="19"/>
          <w:szCs w:val="19"/>
        </w:rPr>
        <w:t xml:space="preserve"> może zlecić </w:t>
      </w:r>
      <w:proofErr w:type="spellStart"/>
      <w:r w:rsidRPr="00956BE7">
        <w:rPr>
          <w:rFonts w:asciiTheme="minorHAnsi" w:hAnsiTheme="minorHAnsi" w:cstheme="minorHAnsi"/>
          <w:iCs/>
          <w:sz w:val="19"/>
          <w:szCs w:val="19"/>
        </w:rPr>
        <w:t>podprzetwarzającym</w:t>
      </w:r>
      <w:proofErr w:type="spellEnd"/>
      <w:r w:rsidRPr="00956BE7">
        <w:rPr>
          <w:rFonts w:asciiTheme="minorHAnsi" w:hAnsiTheme="minorHAnsi" w:cstheme="minorHAnsi"/>
          <w:iCs/>
          <w:sz w:val="19"/>
          <w:szCs w:val="19"/>
        </w:rPr>
        <w:t xml:space="preserve"> („podwykonawca przetwarzający dane”) realizację określonych czynności w zakresie przetwarzania danych. </w:t>
      </w:r>
      <w:proofErr w:type="spellStart"/>
      <w:r w:rsidRPr="00956BE7">
        <w:rPr>
          <w:rFonts w:asciiTheme="minorHAnsi" w:hAnsiTheme="minorHAnsi" w:cstheme="minorHAnsi"/>
          <w:iCs/>
          <w:sz w:val="19"/>
          <w:szCs w:val="19"/>
        </w:rPr>
        <w:t>Podprzetwarzający</w:t>
      </w:r>
      <w:proofErr w:type="spellEnd"/>
      <w:r w:rsidRPr="00956BE7">
        <w:rPr>
          <w:rFonts w:asciiTheme="minorHAnsi" w:hAnsiTheme="minorHAnsi" w:cstheme="minorHAnsi"/>
          <w:iCs/>
          <w:sz w:val="19"/>
          <w:szCs w:val="19"/>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956BE7">
        <w:rPr>
          <w:rFonts w:asciiTheme="minorHAnsi" w:hAnsiTheme="minorHAnsi" w:cstheme="minorHAnsi"/>
          <w:iCs/>
          <w:sz w:val="19"/>
          <w:szCs w:val="19"/>
        </w:rPr>
        <w:t>podprzetwarzającym</w:t>
      </w:r>
      <w:proofErr w:type="spellEnd"/>
      <w:r w:rsidRPr="00956BE7">
        <w:rPr>
          <w:rFonts w:asciiTheme="minorHAnsi" w:hAnsiTheme="minorHAnsi" w:cstheme="minorHAnsi"/>
          <w:iCs/>
          <w:sz w:val="19"/>
          <w:szCs w:val="19"/>
        </w:rPr>
        <w:t xml:space="preserve"> przez Podmiot przetwarzający, </w:t>
      </w:r>
      <w:proofErr w:type="spellStart"/>
      <w:r w:rsidRPr="00956BE7">
        <w:rPr>
          <w:rFonts w:asciiTheme="minorHAnsi" w:hAnsiTheme="minorHAnsi" w:cstheme="minorHAnsi"/>
          <w:iCs/>
          <w:sz w:val="19"/>
          <w:szCs w:val="19"/>
        </w:rPr>
        <w:t>podprzetwarzający</w:t>
      </w:r>
      <w:proofErr w:type="spellEnd"/>
      <w:r w:rsidRPr="00956BE7">
        <w:rPr>
          <w:rFonts w:asciiTheme="minorHAnsi" w:hAnsiTheme="minorHAnsi" w:cstheme="minorHAnsi"/>
          <w:iCs/>
          <w:sz w:val="19"/>
          <w:szCs w:val="19"/>
        </w:rPr>
        <w:t xml:space="preserve"> będą podlegać pisemnym zobowiązaniom w zakresie ochrony danych, zapewniających co najmniej taki sam poziom ochrony, jaki określono w niniejszej umowie. </w:t>
      </w:r>
    </w:p>
    <w:p w:rsidR="00DA6B1D" w:rsidRPr="00956BE7" w:rsidRDefault="00DA6B1D" w:rsidP="00DA6B1D">
      <w:pPr>
        <w:pStyle w:val="Akapitzlist"/>
        <w:numPr>
          <w:ilvl w:val="0"/>
          <w:numId w:val="10"/>
        </w:numPr>
        <w:spacing w:after="120"/>
        <w:ind w:left="567" w:hanging="567"/>
        <w:contextualSpacing/>
        <w:jc w:val="both"/>
        <w:rPr>
          <w:rFonts w:asciiTheme="minorHAnsi" w:hAnsiTheme="minorHAnsi" w:cstheme="minorHAnsi"/>
          <w:iCs/>
          <w:sz w:val="19"/>
          <w:szCs w:val="19"/>
        </w:rPr>
      </w:pPr>
      <w:r w:rsidRPr="00956BE7">
        <w:rPr>
          <w:rFonts w:asciiTheme="minorHAnsi" w:hAnsiTheme="minorHAnsi" w:cstheme="minorHAnsi"/>
          <w:iCs/>
          <w:sz w:val="19"/>
          <w:szCs w:val="19"/>
        </w:rPr>
        <w:t xml:space="preserve">Wykaz </w:t>
      </w:r>
      <w:proofErr w:type="spellStart"/>
      <w:r w:rsidRPr="00956BE7">
        <w:rPr>
          <w:rFonts w:asciiTheme="minorHAnsi" w:hAnsiTheme="minorHAnsi" w:cstheme="minorHAnsi"/>
          <w:iCs/>
          <w:sz w:val="19"/>
          <w:szCs w:val="19"/>
        </w:rPr>
        <w:t>podprzetwarzających</w:t>
      </w:r>
      <w:proofErr w:type="spellEnd"/>
      <w:r w:rsidRPr="00956BE7">
        <w:rPr>
          <w:rFonts w:asciiTheme="minorHAnsi" w:hAnsiTheme="minorHAnsi" w:cstheme="minorHAnsi"/>
          <w:iCs/>
          <w:sz w:val="19"/>
          <w:szCs w:val="19"/>
        </w:rPr>
        <w:t>, którym Podmiot przetwarzający obecnie zleca czynności, jest dostępny pod adresem ……………………………….</w:t>
      </w:r>
    </w:p>
    <w:p w:rsidR="00DA6B1D" w:rsidRPr="00956BE7" w:rsidRDefault="00DA6B1D" w:rsidP="00DA6B1D">
      <w:pPr>
        <w:pStyle w:val="Akapitzlist"/>
        <w:numPr>
          <w:ilvl w:val="0"/>
          <w:numId w:val="10"/>
        </w:numPr>
        <w:spacing w:after="120"/>
        <w:ind w:left="567" w:hanging="567"/>
        <w:contextualSpacing/>
        <w:jc w:val="both"/>
        <w:rPr>
          <w:rFonts w:asciiTheme="minorHAnsi" w:hAnsiTheme="minorHAnsi" w:cstheme="minorHAnsi"/>
          <w:iCs/>
          <w:sz w:val="19"/>
          <w:szCs w:val="19"/>
        </w:rPr>
      </w:pPr>
      <w:r w:rsidRPr="00956BE7">
        <w:rPr>
          <w:rFonts w:asciiTheme="minorHAnsi" w:hAnsiTheme="minorHAnsi" w:cstheme="minorHAnsi"/>
          <w:iCs/>
          <w:sz w:val="19"/>
          <w:szCs w:val="19"/>
        </w:rPr>
        <w:t xml:space="preserve">Administrator Danych niniejszym upoważnia Podmiot przetwarzający do zlecania czynności podmiotom ujętym w wykazie jako </w:t>
      </w:r>
      <w:proofErr w:type="spellStart"/>
      <w:r w:rsidRPr="00956BE7">
        <w:rPr>
          <w:rFonts w:asciiTheme="minorHAnsi" w:hAnsiTheme="minorHAnsi" w:cstheme="minorHAnsi"/>
          <w:iCs/>
          <w:sz w:val="19"/>
          <w:szCs w:val="19"/>
        </w:rPr>
        <w:t>podprzetwarzającym</w:t>
      </w:r>
      <w:proofErr w:type="spellEnd"/>
      <w:r w:rsidRPr="00956BE7">
        <w:rPr>
          <w:rFonts w:asciiTheme="minorHAnsi" w:hAnsiTheme="minorHAnsi" w:cstheme="minorHAnsi"/>
          <w:iCs/>
          <w:sz w:val="19"/>
          <w:szCs w:val="19"/>
        </w:rPr>
        <w:t>.</w:t>
      </w:r>
    </w:p>
    <w:p w:rsidR="00DA6B1D" w:rsidRPr="00956BE7" w:rsidRDefault="00DA6B1D" w:rsidP="00DA6B1D">
      <w:pPr>
        <w:pStyle w:val="Akapitzlist"/>
        <w:numPr>
          <w:ilvl w:val="0"/>
          <w:numId w:val="10"/>
        </w:numPr>
        <w:spacing w:after="120"/>
        <w:ind w:left="567" w:hanging="567"/>
        <w:contextualSpacing/>
        <w:jc w:val="both"/>
        <w:rPr>
          <w:rFonts w:asciiTheme="minorHAnsi" w:hAnsiTheme="minorHAnsi" w:cstheme="minorHAnsi"/>
          <w:iCs/>
          <w:sz w:val="19"/>
          <w:szCs w:val="19"/>
        </w:rPr>
      </w:pPr>
      <w:r w:rsidRPr="00956BE7">
        <w:rPr>
          <w:rFonts w:asciiTheme="minorHAnsi" w:hAnsiTheme="minorHAnsi" w:cstheme="minorHAnsi"/>
          <w:iCs/>
          <w:sz w:val="19"/>
          <w:szCs w:val="19"/>
        </w:rPr>
        <w:t xml:space="preserve">Zlecenie czynności lub zastąpienie </w:t>
      </w:r>
      <w:proofErr w:type="spellStart"/>
      <w:r w:rsidRPr="00956BE7">
        <w:rPr>
          <w:rFonts w:asciiTheme="minorHAnsi" w:hAnsiTheme="minorHAnsi" w:cstheme="minorHAnsi"/>
          <w:iCs/>
          <w:sz w:val="19"/>
          <w:szCs w:val="19"/>
        </w:rPr>
        <w:t>podprzetwarzającego</w:t>
      </w:r>
      <w:proofErr w:type="spellEnd"/>
      <w:r w:rsidRPr="00956BE7">
        <w:rPr>
          <w:rFonts w:asciiTheme="minorHAnsi" w:hAnsiTheme="minorHAnsi" w:cstheme="minorHAnsi"/>
          <w:iCs/>
          <w:sz w:val="19"/>
          <w:szCs w:val="19"/>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rsidR="00DA6B1D" w:rsidRPr="00956BE7" w:rsidRDefault="00DA6B1D" w:rsidP="00DA6B1D">
      <w:pPr>
        <w:pStyle w:val="Akapitzlist"/>
        <w:numPr>
          <w:ilvl w:val="0"/>
          <w:numId w:val="10"/>
        </w:numPr>
        <w:spacing w:after="120"/>
        <w:ind w:left="567" w:hanging="567"/>
        <w:contextualSpacing/>
        <w:jc w:val="both"/>
        <w:rPr>
          <w:rFonts w:asciiTheme="minorHAnsi" w:hAnsiTheme="minorHAnsi" w:cstheme="minorHAnsi"/>
          <w:iCs/>
          <w:sz w:val="19"/>
          <w:szCs w:val="19"/>
        </w:rPr>
      </w:pPr>
      <w:r w:rsidRPr="00956BE7">
        <w:rPr>
          <w:rFonts w:asciiTheme="minorHAnsi" w:hAnsiTheme="minorHAnsi" w:cstheme="minorHAnsi"/>
          <w:iCs/>
          <w:sz w:val="19"/>
          <w:szCs w:val="19"/>
        </w:rPr>
        <w:t xml:space="preserve">W przypadku zgłoszenia zastrzeżeń przez administratora danych, Administrator Danych przedstawi Podmiotowi przetwarzającemu szczegółowe informacje o przyczynach zastrzeżeń. </w:t>
      </w:r>
    </w:p>
    <w:p w:rsidR="00DA6B1D" w:rsidRPr="00956BE7" w:rsidRDefault="00DA6B1D" w:rsidP="00DA6B1D">
      <w:pPr>
        <w:pStyle w:val="Akapitzlist"/>
        <w:spacing w:after="120"/>
        <w:ind w:left="567"/>
        <w:jc w:val="both"/>
        <w:rPr>
          <w:rFonts w:asciiTheme="minorHAnsi" w:hAnsiTheme="minorHAnsi" w:cstheme="minorHAnsi"/>
          <w:iCs/>
          <w:sz w:val="19"/>
          <w:szCs w:val="19"/>
        </w:rPr>
      </w:pPr>
      <w:r w:rsidRPr="00956BE7">
        <w:rPr>
          <w:rFonts w:asciiTheme="minorHAnsi" w:hAnsiTheme="minorHAnsi" w:cstheme="minorHAnsi"/>
          <w:iCs/>
          <w:sz w:val="19"/>
          <w:szCs w:val="19"/>
        </w:rPr>
        <w:t>Po zgłoszeniu zastrzeżeń Podmiot przetwarzający może według własnego uznania</w:t>
      </w:r>
    </w:p>
    <w:p w:rsidR="00DA6B1D" w:rsidRPr="00956BE7" w:rsidRDefault="00DA6B1D" w:rsidP="00DA6B1D">
      <w:pPr>
        <w:pStyle w:val="Akapitzlist"/>
        <w:numPr>
          <w:ilvl w:val="0"/>
          <w:numId w:val="9"/>
        </w:numPr>
        <w:spacing w:after="120"/>
        <w:ind w:left="993" w:hanging="426"/>
        <w:contextualSpacing/>
        <w:jc w:val="both"/>
        <w:rPr>
          <w:rFonts w:asciiTheme="minorHAnsi" w:hAnsiTheme="minorHAnsi" w:cstheme="minorHAnsi"/>
          <w:iCs/>
          <w:sz w:val="19"/>
          <w:szCs w:val="19"/>
        </w:rPr>
      </w:pPr>
      <w:r w:rsidRPr="00956BE7">
        <w:rPr>
          <w:rFonts w:asciiTheme="minorHAnsi" w:hAnsiTheme="minorHAnsi" w:cstheme="minorHAnsi"/>
          <w:iCs/>
          <w:sz w:val="19"/>
          <w:szCs w:val="19"/>
        </w:rPr>
        <w:t xml:space="preserve">zaproponować innego </w:t>
      </w:r>
      <w:proofErr w:type="spellStart"/>
      <w:r w:rsidRPr="00956BE7">
        <w:rPr>
          <w:rFonts w:asciiTheme="minorHAnsi" w:hAnsiTheme="minorHAnsi" w:cstheme="minorHAnsi"/>
          <w:iCs/>
          <w:sz w:val="19"/>
          <w:szCs w:val="19"/>
        </w:rPr>
        <w:t>podprzetwarzającego</w:t>
      </w:r>
      <w:proofErr w:type="spellEnd"/>
      <w:r w:rsidRPr="00956BE7">
        <w:rPr>
          <w:rFonts w:asciiTheme="minorHAnsi" w:hAnsiTheme="minorHAnsi" w:cstheme="minorHAnsi"/>
          <w:iCs/>
          <w:sz w:val="19"/>
          <w:szCs w:val="19"/>
        </w:rPr>
        <w:t xml:space="preserve"> w miejsce odrzuconego </w:t>
      </w:r>
      <w:proofErr w:type="spellStart"/>
      <w:r w:rsidRPr="00956BE7">
        <w:rPr>
          <w:rFonts w:asciiTheme="minorHAnsi" w:hAnsiTheme="minorHAnsi" w:cstheme="minorHAnsi"/>
          <w:iCs/>
          <w:sz w:val="19"/>
          <w:szCs w:val="19"/>
        </w:rPr>
        <w:t>podprzetwarzającego</w:t>
      </w:r>
      <w:proofErr w:type="spellEnd"/>
      <w:r w:rsidRPr="00956BE7">
        <w:rPr>
          <w:rFonts w:asciiTheme="minorHAnsi" w:hAnsiTheme="minorHAnsi" w:cstheme="minorHAnsi"/>
          <w:iCs/>
          <w:sz w:val="19"/>
          <w:szCs w:val="19"/>
        </w:rPr>
        <w:t>; lub</w:t>
      </w:r>
    </w:p>
    <w:p w:rsidR="00DA6B1D" w:rsidRPr="00956BE7" w:rsidRDefault="00DA6B1D" w:rsidP="00DA6B1D">
      <w:pPr>
        <w:pStyle w:val="Akapitzlist"/>
        <w:numPr>
          <w:ilvl w:val="0"/>
          <w:numId w:val="9"/>
        </w:numPr>
        <w:spacing w:after="120"/>
        <w:ind w:left="993" w:hanging="426"/>
        <w:contextualSpacing/>
        <w:jc w:val="both"/>
        <w:rPr>
          <w:rFonts w:asciiTheme="minorHAnsi" w:hAnsiTheme="minorHAnsi" w:cstheme="minorHAnsi"/>
          <w:iCs/>
          <w:sz w:val="19"/>
          <w:szCs w:val="19"/>
        </w:rPr>
      </w:pPr>
      <w:r w:rsidRPr="00956BE7">
        <w:rPr>
          <w:rFonts w:asciiTheme="minorHAnsi" w:hAnsiTheme="minorHAnsi" w:cstheme="minorHAnsi"/>
          <w:iCs/>
          <w:sz w:val="19"/>
          <w:szCs w:val="19"/>
        </w:rPr>
        <w:t>podjąć działania w celu rozwiązania problemów zgłoszonych przez Administratora danych, które wyeliminują jego zastrzeżenia.</w:t>
      </w:r>
    </w:p>
    <w:p w:rsidR="00DA6B1D" w:rsidRPr="00956BE7" w:rsidRDefault="00DA6B1D" w:rsidP="00DA6B1D">
      <w:pPr>
        <w:pStyle w:val="Akapitzlist"/>
        <w:numPr>
          <w:ilvl w:val="0"/>
          <w:numId w:val="10"/>
        </w:numPr>
        <w:spacing w:after="120"/>
        <w:ind w:left="567" w:hanging="567"/>
        <w:contextualSpacing/>
        <w:jc w:val="both"/>
        <w:rPr>
          <w:rFonts w:asciiTheme="minorHAnsi" w:hAnsiTheme="minorHAnsi" w:cstheme="minorHAnsi"/>
          <w:iCs/>
          <w:sz w:val="19"/>
          <w:szCs w:val="19"/>
        </w:rPr>
      </w:pPr>
      <w:r w:rsidRPr="00956BE7">
        <w:rPr>
          <w:rFonts w:asciiTheme="minorHAnsi" w:hAnsiTheme="minorHAnsi" w:cstheme="minorHAnsi"/>
          <w:iCs/>
          <w:sz w:val="19"/>
          <w:szCs w:val="19"/>
        </w:rPr>
        <w:t xml:space="preserve">W przypadku niewykonania przez </w:t>
      </w:r>
      <w:proofErr w:type="spellStart"/>
      <w:r w:rsidRPr="00956BE7">
        <w:rPr>
          <w:rFonts w:asciiTheme="minorHAnsi" w:hAnsiTheme="minorHAnsi" w:cstheme="minorHAnsi"/>
          <w:iCs/>
          <w:sz w:val="19"/>
          <w:szCs w:val="19"/>
        </w:rPr>
        <w:t>podprzetwarzającego</w:t>
      </w:r>
      <w:proofErr w:type="spellEnd"/>
      <w:r w:rsidRPr="00956BE7">
        <w:rPr>
          <w:rFonts w:asciiTheme="minorHAnsi" w:hAnsiTheme="minorHAnsi" w:cstheme="minorHAnsi"/>
          <w:iCs/>
          <w:sz w:val="19"/>
          <w:szCs w:val="19"/>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956BE7">
        <w:rPr>
          <w:rFonts w:asciiTheme="minorHAnsi" w:hAnsiTheme="minorHAnsi" w:cstheme="minorHAnsi"/>
          <w:iCs/>
          <w:sz w:val="19"/>
          <w:szCs w:val="19"/>
        </w:rPr>
        <w:t>podprzetwarzającym</w:t>
      </w:r>
      <w:proofErr w:type="spellEnd"/>
      <w:r w:rsidRPr="00956BE7">
        <w:rPr>
          <w:rFonts w:asciiTheme="minorHAnsi" w:hAnsiTheme="minorHAnsi" w:cstheme="minorHAnsi"/>
          <w:iCs/>
          <w:sz w:val="19"/>
          <w:szCs w:val="19"/>
        </w:rPr>
        <w:t xml:space="preserve">. </w:t>
      </w:r>
    </w:p>
    <w:p w:rsidR="00DA6B1D" w:rsidRPr="00956BE7" w:rsidRDefault="00DA6B1D" w:rsidP="00DA6B1D">
      <w:pPr>
        <w:pStyle w:val="Akapitzlist"/>
        <w:numPr>
          <w:ilvl w:val="0"/>
          <w:numId w:val="10"/>
        </w:numPr>
        <w:spacing w:after="120"/>
        <w:ind w:left="567" w:hanging="567"/>
        <w:contextualSpacing/>
        <w:jc w:val="both"/>
        <w:rPr>
          <w:rFonts w:asciiTheme="minorHAnsi" w:hAnsiTheme="minorHAnsi" w:cstheme="minorHAnsi"/>
          <w:iCs/>
          <w:sz w:val="19"/>
          <w:szCs w:val="19"/>
        </w:rPr>
      </w:pPr>
      <w:r w:rsidRPr="00956BE7">
        <w:rPr>
          <w:rFonts w:asciiTheme="minorHAnsi" w:hAnsiTheme="minorHAnsi" w:cstheme="minorHAnsi"/>
          <w:iCs/>
          <w:sz w:val="19"/>
          <w:szCs w:val="19"/>
        </w:rPr>
        <w:t xml:space="preserve">W przypadku zlecenia przez Podmiot przetwarzający czynności </w:t>
      </w:r>
      <w:proofErr w:type="spellStart"/>
      <w:r w:rsidRPr="00956BE7">
        <w:rPr>
          <w:rFonts w:asciiTheme="minorHAnsi" w:hAnsiTheme="minorHAnsi" w:cstheme="minorHAnsi"/>
          <w:iCs/>
          <w:sz w:val="19"/>
          <w:szCs w:val="19"/>
        </w:rPr>
        <w:t>podprzetwarzającemu</w:t>
      </w:r>
      <w:proofErr w:type="spellEnd"/>
      <w:r w:rsidRPr="00956BE7">
        <w:rPr>
          <w:rFonts w:asciiTheme="minorHAnsi" w:hAnsiTheme="minorHAnsi" w:cstheme="minorHAnsi"/>
          <w:iCs/>
          <w:sz w:val="19"/>
          <w:szCs w:val="19"/>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rsidR="00DA6B1D" w:rsidRPr="00956BE7" w:rsidRDefault="00DA6B1D" w:rsidP="00DA6B1D">
      <w:pPr>
        <w:pStyle w:val="Akapitzlist"/>
        <w:numPr>
          <w:ilvl w:val="0"/>
          <w:numId w:val="10"/>
        </w:numPr>
        <w:spacing w:after="120"/>
        <w:ind w:left="567" w:hanging="567"/>
        <w:contextualSpacing/>
        <w:jc w:val="both"/>
        <w:rPr>
          <w:rFonts w:asciiTheme="minorHAnsi" w:hAnsiTheme="minorHAnsi" w:cstheme="minorHAnsi"/>
          <w:iCs/>
          <w:sz w:val="19"/>
          <w:szCs w:val="19"/>
        </w:rPr>
      </w:pPr>
      <w:r w:rsidRPr="00956BE7">
        <w:rPr>
          <w:rFonts w:asciiTheme="minorHAnsi" w:hAnsiTheme="minorHAnsi" w:cstheme="minorHAnsi"/>
          <w:iCs/>
          <w:sz w:val="19"/>
          <w:szCs w:val="19"/>
        </w:rPr>
        <w:t xml:space="preserve">W przypadku, gdy Podmiot przetwarzający zapewnia wystarczające zabezpieczenia np. na mocy standardowych klauzul umownych zgodnie z decyzją Komisji Europejskiej Nr 2010/87/UE lub standardowych klauzul ochrony danych zgodnie z art. 46 </w:t>
      </w:r>
      <w:r w:rsidRPr="00956BE7">
        <w:rPr>
          <w:rFonts w:asciiTheme="minorHAnsi" w:hAnsiTheme="minorHAnsi" w:cstheme="minorHAnsi"/>
          <w:iCs/>
          <w:sz w:val="19"/>
          <w:szCs w:val="19"/>
        </w:rPr>
        <w:lastRenderedPageBreak/>
        <w:t xml:space="preserve">(„standardowe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956BE7">
        <w:rPr>
          <w:rFonts w:asciiTheme="minorHAnsi" w:hAnsiTheme="minorHAnsi" w:cstheme="minorHAnsi"/>
          <w:iCs/>
          <w:sz w:val="19"/>
          <w:szCs w:val="19"/>
        </w:rPr>
        <w:t>podprzetwarzającego</w:t>
      </w:r>
      <w:proofErr w:type="spellEnd"/>
      <w:r w:rsidRPr="00956BE7">
        <w:rPr>
          <w:rFonts w:asciiTheme="minorHAnsi" w:hAnsiTheme="minorHAnsi" w:cstheme="minorHAnsi"/>
          <w:iCs/>
          <w:sz w:val="19"/>
          <w:szCs w:val="19"/>
        </w:rPr>
        <w:t xml:space="preserve"> przy zawieraniu takich standardowych klauzul ochrony danych. </w:t>
      </w:r>
      <w:bookmarkEnd w:id="13"/>
    </w:p>
    <w:p w:rsidR="00DA6B1D" w:rsidRPr="00956BE7" w:rsidRDefault="00DA6B1D" w:rsidP="00DA6B1D">
      <w:pPr>
        <w:spacing w:line="240" w:lineRule="auto"/>
        <w:rPr>
          <w:rFonts w:cstheme="minorHAnsi"/>
          <w:sz w:val="19"/>
          <w:szCs w:val="19"/>
        </w:rPr>
      </w:pPr>
      <w:r w:rsidRPr="00956BE7">
        <w:rPr>
          <w:rFonts w:cstheme="minorHAnsi"/>
          <w:sz w:val="19"/>
          <w:szCs w:val="19"/>
        </w:rPr>
        <w:t>Uzasadnienie:</w:t>
      </w:r>
    </w:p>
    <w:p w:rsidR="00DA6B1D" w:rsidRPr="00956BE7" w:rsidRDefault="00DA6B1D" w:rsidP="00DA6B1D">
      <w:pPr>
        <w:pStyle w:val="Textbody"/>
        <w:jc w:val="both"/>
        <w:rPr>
          <w:rFonts w:asciiTheme="minorHAnsi" w:hAnsiTheme="minorHAnsi" w:cstheme="minorHAnsi"/>
          <w:b w:val="0"/>
          <w:i w:val="0"/>
          <w:sz w:val="19"/>
          <w:szCs w:val="19"/>
        </w:rPr>
      </w:pPr>
      <w:bookmarkStart w:id="14" w:name="_Hlk42944098"/>
      <w:r w:rsidRPr="00956BE7">
        <w:rPr>
          <w:rFonts w:asciiTheme="minorHAnsi" w:hAnsiTheme="minorHAnsi" w:cstheme="minorHAnsi"/>
          <w:b w:val="0"/>
          <w:i w:val="0"/>
          <w:sz w:val="19"/>
          <w:szCs w:val="19"/>
        </w:rPr>
        <w:t>Mając na uwadze oczekiwany przez Państwa standard usług serwisowych, w tym krótkie czasy reakcji i naprawy, globalne koncerny wykorzystują do świadczenia tych usług spółki ze swoich grup kapitałowych, w szczególności spółki będące producentami urządzeń (które mogą mieć siedzibę poza EOG) – z ich unikalną wiedzą o danym produkcie/urządzeniu. Ewentualny dostęp do danych na urządzeniach zawsze odbywa się z poszanowaniem zasad wynikających z RODO. Mając powyższe na uwadze uprzejmie prosimy o zastąpienie ust. 1-2 następującymi zapisami, które oddają faktyczny model oczekiwanych przez Państwa usług serwisowych</w:t>
      </w:r>
      <w:bookmarkEnd w:id="14"/>
      <w:r w:rsidRPr="00956BE7">
        <w:rPr>
          <w:rFonts w:asciiTheme="minorHAnsi" w:hAnsiTheme="minorHAnsi" w:cstheme="minorHAnsi"/>
          <w:b w:val="0"/>
          <w:i w:val="0"/>
          <w:sz w:val="19"/>
          <w:szCs w:val="19"/>
        </w:rPr>
        <w:t>.</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Zamawiający nie wyraża zgody</w:t>
      </w:r>
      <w:r w:rsidR="00956BE7">
        <w:rPr>
          <w:rFonts w:asciiTheme="minorHAnsi" w:hAnsiTheme="minorHAnsi" w:cstheme="minorHAnsi"/>
          <w:b w:val="0"/>
          <w:i w:val="0"/>
          <w:sz w:val="19"/>
          <w:szCs w:val="19"/>
        </w:rPr>
        <w:t xml:space="preserve"> na powyższe zmiany, dokonuje natomiast małej modyfikacji załącznika nr 2 do umowy</w:t>
      </w:r>
      <w:r w:rsidRPr="00956BE7">
        <w:rPr>
          <w:rFonts w:asciiTheme="minorHAnsi" w:hAnsiTheme="minorHAnsi" w:cstheme="minorHAnsi"/>
          <w:b w:val="0"/>
          <w:i w:val="0"/>
          <w:sz w:val="19"/>
          <w:szCs w:val="19"/>
        </w:rPr>
        <w:t xml:space="preserve">. </w:t>
      </w:r>
    </w:p>
    <w:p w:rsidR="00DA6B1D" w:rsidRPr="00956BE7" w:rsidRDefault="00DA6B1D" w:rsidP="00DA6B1D">
      <w:pPr>
        <w:pStyle w:val="Textbody"/>
        <w:jc w:val="both"/>
        <w:rPr>
          <w:rFonts w:asciiTheme="minorHAnsi" w:hAnsiTheme="minorHAnsi" w:cstheme="minorHAnsi"/>
          <w:sz w:val="19"/>
          <w:szCs w:val="19"/>
        </w:rPr>
      </w:pP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 xml:space="preserve">Pytanie 8, </w:t>
      </w:r>
      <w:r w:rsidRPr="00956BE7">
        <w:rPr>
          <w:rFonts w:asciiTheme="minorHAnsi" w:hAnsiTheme="minorHAnsi" w:cstheme="minorHAnsi"/>
          <w:b w:val="0"/>
          <w:bCs/>
          <w:i w:val="0"/>
          <w:sz w:val="19"/>
          <w:szCs w:val="19"/>
        </w:rPr>
        <w:t>Dotyczy zapisów SWZ, rozdział XIX pkt 1.2</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 xml:space="preserve">Czy z uwagi na to, że w instrukcjach, katalogach, ulotkach, folderach przedstawiona jest tylko część parametrów i funkcjonalności sprzętu, Zamawiający w odniesieniu do wymaganych przez siebie parametrów, które nie są prezentowane w tych dokumentach dopuści ich potwierdzenie oświadczeniem Wykonawcy posiadającego pisemną autoryzację producenta dla serwisu i sprzedaży oferowanego RTG z ramieniem C? </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Zgodnie z SWZ, patrz pkt. XIX ppkt. 1.2, cytuję:</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w:t>
      </w:r>
      <w:r w:rsidRPr="00956BE7">
        <w:rPr>
          <w:rFonts w:asciiTheme="minorHAnsi" w:hAnsiTheme="minorHAnsi" w:cstheme="minorHAnsi"/>
          <w:b w:val="0"/>
          <w:i w:val="0"/>
          <w:sz w:val="19"/>
          <w:szCs w:val="19"/>
          <w:u w:val="single"/>
        </w:rPr>
        <w:t>UWAGA</w:t>
      </w:r>
      <w:r w:rsidRPr="00956BE7">
        <w:rPr>
          <w:rFonts w:asciiTheme="minorHAnsi" w:hAnsiTheme="minorHAnsi" w:cstheme="minorHAnsi"/>
          <w:b w:val="0"/>
          <w:i w:val="0"/>
          <w:sz w:val="19"/>
          <w:szCs w:val="19"/>
        </w:rPr>
        <w:t>: W przypadku, gdy w/w dokumenty nie będą zawierały potwierdzenia parametrów określonych w pkt 1.2.,</w:t>
      </w:r>
      <w:r w:rsidRPr="00956BE7">
        <w:rPr>
          <w:rFonts w:asciiTheme="minorHAnsi" w:hAnsiTheme="minorHAnsi" w:cstheme="minorHAnsi"/>
          <w:i w:val="0"/>
          <w:sz w:val="19"/>
          <w:szCs w:val="19"/>
        </w:rPr>
        <w:t xml:space="preserve"> </w:t>
      </w:r>
      <w:r w:rsidRPr="00956BE7">
        <w:rPr>
          <w:rFonts w:asciiTheme="minorHAnsi" w:hAnsiTheme="minorHAnsi" w:cstheme="minorHAnsi"/>
          <w:i w:val="0"/>
          <w:sz w:val="19"/>
          <w:szCs w:val="19"/>
          <w:u w:val="single"/>
        </w:rPr>
        <w:t>zamawiający dopuszcza możliwość załączenia oświadczenia wystawionego przez Producenta bądź autoryzowanego Przedstawiciela Producenta zawierającego wymagane informacje</w:t>
      </w:r>
      <w:r w:rsidRPr="00956BE7">
        <w:rPr>
          <w:rFonts w:asciiTheme="minorHAnsi" w:hAnsiTheme="minorHAnsi" w:cstheme="minorHAnsi"/>
          <w:b w:val="0"/>
          <w:i w:val="0"/>
          <w:sz w:val="19"/>
          <w:szCs w:val="19"/>
          <w:u w:val="single"/>
        </w:rPr>
        <w:t>.”</w:t>
      </w:r>
    </w:p>
    <w:p w:rsidR="00DA6B1D" w:rsidRPr="00956BE7" w:rsidRDefault="00DA6B1D" w:rsidP="00DA6B1D">
      <w:pPr>
        <w:pStyle w:val="Textbody"/>
        <w:jc w:val="both"/>
        <w:rPr>
          <w:rFonts w:asciiTheme="minorHAnsi" w:hAnsiTheme="minorHAnsi" w:cstheme="minorHAnsi"/>
          <w:bCs/>
          <w:i w:val="0"/>
          <w:sz w:val="19"/>
          <w:szCs w:val="19"/>
        </w:rPr>
      </w:pP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Cs/>
          <w:i w:val="0"/>
          <w:sz w:val="19"/>
          <w:szCs w:val="19"/>
        </w:rPr>
        <w:t xml:space="preserve">Pytanie 9, </w:t>
      </w:r>
      <w:r w:rsidRPr="00956BE7">
        <w:rPr>
          <w:rFonts w:asciiTheme="minorHAnsi" w:hAnsiTheme="minorHAnsi" w:cstheme="minorHAnsi"/>
          <w:b w:val="0"/>
          <w:i w:val="0"/>
          <w:sz w:val="19"/>
          <w:szCs w:val="19"/>
        </w:rPr>
        <w:t xml:space="preserve">Dotyczy punktu 3.2; </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Prosimy o potwierdzenie iż wartość częstotliwości generatora zaoferowana przez wykonawcę ma być wartością dostępną dla wszystkich trybów pracy aparatu.</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Zgodnie z odpowiedzią do pytania nr 1, Zamawiający dopuszcza minimalna częstotliwość generatora min 18 kHz oraz wyjaśnia, iż zaoferowana częstotliwość ma być dostępna dla wszystkich trybów pracy.</w:t>
      </w:r>
    </w:p>
    <w:p w:rsidR="00DA6B1D" w:rsidRPr="00956BE7" w:rsidRDefault="00DA6B1D" w:rsidP="00DA6B1D">
      <w:pPr>
        <w:pStyle w:val="Textbody"/>
        <w:jc w:val="both"/>
        <w:rPr>
          <w:rFonts w:asciiTheme="minorHAnsi" w:hAnsiTheme="minorHAnsi" w:cstheme="minorHAnsi"/>
          <w:bCs/>
          <w:i w:val="0"/>
          <w:sz w:val="19"/>
          <w:szCs w:val="19"/>
        </w:rPr>
      </w:pP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Cs/>
          <w:i w:val="0"/>
          <w:sz w:val="19"/>
          <w:szCs w:val="19"/>
        </w:rPr>
        <w:t xml:space="preserve">Pytanie 10, </w:t>
      </w:r>
      <w:r w:rsidRPr="00956BE7">
        <w:rPr>
          <w:rFonts w:asciiTheme="minorHAnsi" w:hAnsiTheme="minorHAnsi" w:cstheme="minorHAnsi"/>
          <w:b w:val="0"/>
          <w:i w:val="0"/>
          <w:sz w:val="19"/>
          <w:szCs w:val="19"/>
        </w:rPr>
        <w:t xml:space="preserve">Dotyczy punktu 2.9; </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Prosimy o potwierdzenie iż dostępna mozaika obrazów ma być nie mniejsza niż opisana w punkcie 6.15, min 15 obrazów.</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Zamawiający potwierdza.</w:t>
      </w:r>
    </w:p>
    <w:p w:rsidR="00DA6B1D" w:rsidRPr="00956BE7" w:rsidRDefault="00DA6B1D" w:rsidP="00DA6B1D">
      <w:pPr>
        <w:pStyle w:val="Textbody"/>
        <w:jc w:val="both"/>
        <w:rPr>
          <w:rFonts w:asciiTheme="minorHAnsi" w:hAnsiTheme="minorHAnsi" w:cstheme="minorHAnsi"/>
          <w:bCs/>
          <w:i w:val="0"/>
          <w:sz w:val="19"/>
          <w:szCs w:val="19"/>
        </w:rPr>
      </w:pP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Cs/>
          <w:i w:val="0"/>
          <w:sz w:val="19"/>
          <w:szCs w:val="19"/>
        </w:rPr>
        <w:t xml:space="preserve">Pytanie 11, </w:t>
      </w:r>
      <w:r w:rsidRPr="00956BE7">
        <w:rPr>
          <w:rFonts w:asciiTheme="minorHAnsi" w:hAnsiTheme="minorHAnsi" w:cstheme="minorHAnsi"/>
          <w:b w:val="0"/>
          <w:i w:val="0"/>
          <w:sz w:val="19"/>
          <w:szCs w:val="19"/>
        </w:rPr>
        <w:t xml:space="preserve">Dotyczy punktu 3.5 oraz 3.6; </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 xml:space="preserve">W nawiązaniu do nadinterpretacji w jednym z postepowań prowadzonym w Polsce prosimy potwierdzenie iż zakres należy rozumieć jako wartość graniczną prądu 2 </w:t>
      </w:r>
      <w:proofErr w:type="spellStart"/>
      <w:r w:rsidRPr="00956BE7">
        <w:rPr>
          <w:rFonts w:asciiTheme="minorHAnsi" w:hAnsiTheme="minorHAnsi" w:cstheme="minorHAnsi"/>
          <w:b w:val="0"/>
          <w:i w:val="0"/>
          <w:sz w:val="19"/>
          <w:szCs w:val="19"/>
        </w:rPr>
        <w:t>mA</w:t>
      </w:r>
      <w:proofErr w:type="spellEnd"/>
      <w:r w:rsidRPr="00956BE7">
        <w:rPr>
          <w:rFonts w:asciiTheme="minorHAnsi" w:hAnsiTheme="minorHAnsi" w:cstheme="minorHAnsi"/>
          <w:b w:val="0"/>
          <w:i w:val="0"/>
          <w:sz w:val="19"/>
          <w:szCs w:val="19"/>
        </w:rPr>
        <w:t xml:space="preserve"> lub mniej oraz wartość maksymalną 200mA lub więcej oraz nie traktuje się jako równoważnego zakresu np. 10mA do 250mA jako większego równoważnego.</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Zamawiający potwierdza.</w:t>
      </w:r>
    </w:p>
    <w:p w:rsidR="00DA6B1D" w:rsidRPr="00956BE7" w:rsidRDefault="00DA6B1D" w:rsidP="00DA6B1D">
      <w:pPr>
        <w:pStyle w:val="Textbody"/>
        <w:jc w:val="both"/>
        <w:rPr>
          <w:rFonts w:asciiTheme="minorHAnsi" w:hAnsiTheme="minorHAnsi" w:cstheme="minorHAnsi"/>
          <w:sz w:val="19"/>
          <w:szCs w:val="19"/>
        </w:rPr>
      </w:pP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Pytanie 12</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Czy Zamawiający wyrazi zgodę na złożenie materiałów informacyjnych autoryzowanego przedstawiciela Producenta potwierdzających wymagane parametry i właściwości oferowanego aparatu?</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Patrz odpowiedź na pytanie nr 8.</w:t>
      </w:r>
    </w:p>
    <w:p w:rsidR="00DA6B1D" w:rsidRPr="00956BE7" w:rsidRDefault="00DA6B1D" w:rsidP="00DA6B1D">
      <w:pPr>
        <w:pStyle w:val="Textbody"/>
        <w:jc w:val="both"/>
        <w:rPr>
          <w:rFonts w:asciiTheme="minorHAnsi" w:hAnsiTheme="minorHAnsi" w:cstheme="minorHAnsi"/>
          <w:bCs/>
          <w:i w:val="0"/>
          <w:sz w:val="19"/>
          <w:szCs w:val="19"/>
        </w:rPr>
      </w:pP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Pytanie 13</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Czy Zamawiający uzna kontakt telefoniczny/zdalny jako reakcję serwisu?</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Zamawiający dopuszcza kontakt telefoniczny.</w:t>
      </w:r>
    </w:p>
    <w:p w:rsidR="00DA6B1D" w:rsidRPr="00956BE7" w:rsidRDefault="00DA6B1D" w:rsidP="00DA6B1D">
      <w:pPr>
        <w:pStyle w:val="Textbody"/>
        <w:jc w:val="both"/>
        <w:rPr>
          <w:rFonts w:asciiTheme="minorHAnsi" w:hAnsiTheme="minorHAnsi" w:cstheme="minorHAnsi"/>
          <w:sz w:val="19"/>
          <w:szCs w:val="19"/>
        </w:rPr>
      </w:pPr>
    </w:p>
    <w:p w:rsidR="00DA6B1D" w:rsidRPr="00956BE7" w:rsidRDefault="00DA6B1D" w:rsidP="00DA6B1D">
      <w:pPr>
        <w:pStyle w:val="Textbody"/>
        <w:jc w:val="both"/>
        <w:rPr>
          <w:rFonts w:asciiTheme="minorHAnsi" w:hAnsiTheme="minorHAnsi" w:cstheme="minorHAnsi"/>
          <w:b w:val="0"/>
          <w:bCs/>
          <w:i w:val="0"/>
          <w:sz w:val="19"/>
          <w:szCs w:val="19"/>
        </w:rPr>
      </w:pPr>
      <w:r w:rsidRPr="00956BE7">
        <w:rPr>
          <w:rFonts w:asciiTheme="minorHAnsi" w:hAnsiTheme="minorHAnsi" w:cstheme="minorHAnsi"/>
          <w:bCs/>
          <w:i w:val="0"/>
          <w:sz w:val="19"/>
          <w:szCs w:val="19"/>
        </w:rPr>
        <w:t xml:space="preserve">Pytanie 14, </w:t>
      </w:r>
      <w:r w:rsidRPr="00956BE7">
        <w:rPr>
          <w:rFonts w:asciiTheme="minorHAnsi" w:hAnsiTheme="minorHAnsi" w:cstheme="minorHAnsi"/>
          <w:b w:val="0"/>
          <w:i w:val="0"/>
          <w:sz w:val="19"/>
          <w:szCs w:val="19"/>
        </w:rPr>
        <w:t>Dotyczy Umowy §4 ust 1 lit d) i e)</w:t>
      </w:r>
    </w:p>
    <w:p w:rsidR="00DA6B1D" w:rsidRPr="00956BE7" w:rsidRDefault="00DA6B1D" w:rsidP="00DA6B1D">
      <w:pPr>
        <w:spacing w:line="240" w:lineRule="auto"/>
        <w:jc w:val="both"/>
        <w:rPr>
          <w:rFonts w:cstheme="minorHAnsi"/>
          <w:sz w:val="19"/>
          <w:szCs w:val="19"/>
        </w:rPr>
      </w:pPr>
      <w:r w:rsidRPr="00956BE7">
        <w:rPr>
          <w:rFonts w:cstheme="minorHAnsi"/>
          <w:sz w:val="19"/>
          <w:szCs w:val="19"/>
        </w:rPr>
        <w:t>Zwracamy się z prośbą o wydłużenie terminu naprawy do 4 dni roboczych (bez wymiany części) i 7 dni roboczych (w przypadku wymiany części zamiennych sprowadzanych z zagranicy), liczony od zdiagnozowania usterki.</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 xml:space="preserve">Wyjaśniamy, że czas naprawy zależny jest od rodzaju uszkodzenia. W przypadku drobnych uszkodzeń, taka naprawa może potrwać kilka godzin. Natomiast w przypadku skomplikowanego uszkodzenia nieco dłużej, jak również w przypadku takiego, które np. wymaga wymiany podzespołu na nowy. Wtedy czas takiej naprawy wydłuża się o termin sprowadzenia danej części z zagranicy, a więc o czas </w:t>
      </w:r>
      <w:r w:rsidRPr="00956BE7">
        <w:rPr>
          <w:rFonts w:asciiTheme="minorHAnsi" w:hAnsiTheme="minorHAnsi" w:cstheme="minorHAnsi"/>
          <w:b w:val="0"/>
          <w:i w:val="0"/>
          <w:sz w:val="19"/>
          <w:szCs w:val="19"/>
        </w:rPr>
        <w:lastRenderedPageBreak/>
        <w:t>transportu.</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Nie, zgodnie z SWZ.</w:t>
      </w:r>
    </w:p>
    <w:p w:rsidR="00DA6B1D" w:rsidRPr="00956BE7" w:rsidRDefault="00DA6B1D" w:rsidP="00DA6B1D">
      <w:pPr>
        <w:pStyle w:val="Textbody"/>
        <w:jc w:val="both"/>
        <w:rPr>
          <w:rFonts w:asciiTheme="minorHAnsi" w:hAnsiTheme="minorHAnsi" w:cstheme="minorHAnsi"/>
          <w:bCs/>
          <w:i w:val="0"/>
          <w:sz w:val="19"/>
          <w:szCs w:val="19"/>
        </w:rPr>
      </w:pPr>
    </w:p>
    <w:p w:rsidR="00DA6B1D" w:rsidRPr="00956BE7" w:rsidRDefault="00DA6B1D" w:rsidP="00DA6B1D">
      <w:pPr>
        <w:pStyle w:val="Textbody"/>
        <w:jc w:val="both"/>
        <w:rPr>
          <w:rFonts w:asciiTheme="minorHAnsi" w:hAnsiTheme="minorHAnsi" w:cstheme="minorHAnsi"/>
          <w:b w:val="0"/>
          <w:bCs/>
          <w:i w:val="0"/>
          <w:sz w:val="19"/>
          <w:szCs w:val="19"/>
        </w:rPr>
      </w:pPr>
      <w:r w:rsidRPr="00956BE7">
        <w:rPr>
          <w:rFonts w:asciiTheme="minorHAnsi" w:hAnsiTheme="minorHAnsi" w:cstheme="minorHAnsi"/>
          <w:bCs/>
          <w:i w:val="0"/>
          <w:sz w:val="19"/>
          <w:szCs w:val="19"/>
        </w:rPr>
        <w:t xml:space="preserve">Pytanie 15, </w:t>
      </w:r>
      <w:r w:rsidRPr="00956BE7">
        <w:rPr>
          <w:rFonts w:asciiTheme="minorHAnsi" w:hAnsiTheme="minorHAnsi" w:cstheme="minorHAnsi"/>
          <w:b w:val="0"/>
          <w:i w:val="0"/>
          <w:sz w:val="19"/>
          <w:szCs w:val="19"/>
        </w:rPr>
        <w:t>Dotyczy Umowy §8 ust 1 lit a)</w:t>
      </w:r>
    </w:p>
    <w:p w:rsidR="00DA6B1D" w:rsidRPr="00956BE7" w:rsidRDefault="00DA6B1D" w:rsidP="00DA6B1D">
      <w:pPr>
        <w:suppressAutoHyphens/>
        <w:spacing w:line="240" w:lineRule="auto"/>
        <w:jc w:val="both"/>
        <w:rPr>
          <w:rFonts w:cstheme="minorHAnsi"/>
          <w:sz w:val="19"/>
          <w:szCs w:val="19"/>
          <w:lang w:eastAsia="ar-SA"/>
        </w:rPr>
      </w:pPr>
      <w:r w:rsidRPr="00956BE7">
        <w:rPr>
          <w:rFonts w:cstheme="minorHAnsi"/>
          <w:sz w:val="19"/>
          <w:szCs w:val="19"/>
          <w:lang w:eastAsia="ar-SA"/>
        </w:rPr>
        <w:t>Zwracamy się z prośbą o obniżenie kar umownych do wysokości 0,2% licząc od wartości umowy brutto za każdy dzień opóźnienia.</w:t>
      </w:r>
    </w:p>
    <w:p w:rsidR="00DA6B1D" w:rsidRPr="00956BE7" w:rsidRDefault="00DA6B1D" w:rsidP="00DA6B1D">
      <w:pPr>
        <w:suppressAutoHyphens/>
        <w:spacing w:line="240" w:lineRule="auto"/>
        <w:jc w:val="both"/>
        <w:rPr>
          <w:rFonts w:cstheme="minorHAnsi"/>
          <w:sz w:val="19"/>
          <w:szCs w:val="19"/>
          <w:lang w:eastAsia="ar-SA"/>
        </w:rPr>
      </w:pPr>
      <w:r w:rsidRPr="00956BE7">
        <w:rPr>
          <w:rFonts w:cstheme="minorHAnsi"/>
          <w:sz w:val="19"/>
          <w:szCs w:val="19"/>
          <w:lang w:eastAsia="ar-SA"/>
        </w:rPr>
        <w:t>Wyjaśniamy, że w umowach na dostawy sprzętu medycznego, w przypadkach j. w. powszechnie przyjmowane są kary od 0,1% do max 0,2% wartości brutto przedmiotu umowy za każdy dzień zwłoki.</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color w:val="000000"/>
          <w:sz w:val="19"/>
          <w:szCs w:val="19"/>
        </w:rPr>
        <w:t>Zwracamy uwagę, iż kary mają dyscyplinować Wykonawcę do należytego wykonania umowy, a nie być formą osiągania dodatkowego dochodu dla Zamawiającego</w:t>
      </w:r>
      <w:r w:rsidRPr="00956BE7">
        <w:rPr>
          <w:rFonts w:asciiTheme="minorHAnsi" w:hAnsiTheme="minorHAnsi" w:cstheme="minorHAnsi"/>
          <w:color w:val="000000"/>
          <w:sz w:val="19"/>
          <w:szCs w:val="19"/>
        </w:rPr>
        <w:t>.</w:t>
      </w:r>
    </w:p>
    <w:p w:rsidR="00DA6B1D" w:rsidRPr="00956BE7" w:rsidRDefault="00DA6B1D" w:rsidP="00DA6B1D">
      <w:pPr>
        <w:pStyle w:val="Textbody"/>
        <w:jc w:val="both"/>
        <w:rPr>
          <w:rFonts w:asciiTheme="minorHAnsi" w:hAnsiTheme="minorHAnsi" w:cstheme="minorHAnsi"/>
          <w:bCs/>
          <w:i w:val="0"/>
          <w:sz w:val="19"/>
          <w:szCs w:val="19"/>
        </w:rPr>
      </w:pPr>
      <w:r w:rsidRPr="00956BE7">
        <w:rPr>
          <w:rFonts w:asciiTheme="minorHAnsi" w:hAnsiTheme="minorHAnsi" w:cstheme="minorHAnsi"/>
          <w:bCs/>
          <w:i w:val="0"/>
          <w:sz w:val="19"/>
          <w:szCs w:val="19"/>
        </w:rPr>
        <w:t>Odpowiedź:</w:t>
      </w:r>
    </w:p>
    <w:p w:rsidR="00DA6B1D" w:rsidRPr="00956BE7" w:rsidRDefault="00DA6B1D" w:rsidP="00DA6B1D">
      <w:pPr>
        <w:pStyle w:val="Textbody"/>
        <w:jc w:val="both"/>
        <w:rPr>
          <w:rFonts w:asciiTheme="minorHAnsi" w:hAnsiTheme="minorHAnsi" w:cstheme="minorHAnsi"/>
          <w:b w:val="0"/>
          <w:i w:val="0"/>
          <w:sz w:val="19"/>
          <w:szCs w:val="19"/>
        </w:rPr>
      </w:pPr>
      <w:r w:rsidRPr="00956BE7">
        <w:rPr>
          <w:rFonts w:asciiTheme="minorHAnsi" w:hAnsiTheme="minorHAnsi" w:cstheme="minorHAnsi"/>
          <w:b w:val="0"/>
          <w:i w:val="0"/>
          <w:sz w:val="19"/>
          <w:szCs w:val="19"/>
        </w:rPr>
        <w:t>Nie, zgodnie z SWZ.</w:t>
      </w:r>
    </w:p>
    <w:p w:rsidR="00A249E6" w:rsidRPr="00956BE7" w:rsidRDefault="00A249E6" w:rsidP="00DA6B1D">
      <w:pPr>
        <w:pStyle w:val="Textbody"/>
        <w:jc w:val="both"/>
        <w:rPr>
          <w:rFonts w:asciiTheme="minorHAnsi" w:hAnsiTheme="minorHAnsi" w:cstheme="minorHAnsi"/>
          <w:b w:val="0"/>
          <w:i w:val="0"/>
          <w:sz w:val="19"/>
          <w:szCs w:val="19"/>
        </w:rPr>
      </w:pPr>
    </w:p>
    <w:p w:rsidR="00063CB0" w:rsidRPr="00956BE7" w:rsidRDefault="00063CB0" w:rsidP="00063CB0">
      <w:pPr>
        <w:spacing w:after="0" w:line="240" w:lineRule="auto"/>
        <w:jc w:val="both"/>
        <w:rPr>
          <w:rFonts w:cstheme="minorHAnsi"/>
          <w:sz w:val="19"/>
          <w:szCs w:val="19"/>
        </w:rPr>
      </w:pPr>
      <w:r w:rsidRPr="00956BE7">
        <w:rPr>
          <w:rFonts w:cstheme="minorHAnsi"/>
          <w:sz w:val="19"/>
          <w:szCs w:val="19"/>
        </w:rPr>
        <w:t>Na podstawie art. 137</w:t>
      </w:r>
      <w:r w:rsidRPr="00956BE7">
        <w:rPr>
          <w:rFonts w:cstheme="minorHAnsi"/>
          <w:sz w:val="19"/>
          <w:szCs w:val="19"/>
        </w:rPr>
        <w:t xml:space="preserve"> ustawy z dnia 11 września 2021 r. Prawo zamówień publicznych (Dz.U.2019.2019 t.j. z dnia 2019.10.24), zamawiający dokonuje poniższej modyfikacji swz:</w:t>
      </w:r>
    </w:p>
    <w:p w:rsidR="00063CB0" w:rsidRPr="00956BE7" w:rsidRDefault="00063CB0" w:rsidP="00063CB0">
      <w:pPr>
        <w:spacing w:after="0" w:line="240" w:lineRule="auto"/>
        <w:ind w:firstLine="708"/>
        <w:jc w:val="both"/>
        <w:rPr>
          <w:rFonts w:cstheme="minorHAnsi"/>
          <w:sz w:val="19"/>
          <w:szCs w:val="19"/>
        </w:rPr>
      </w:pPr>
    </w:p>
    <w:p w:rsidR="00063CB0" w:rsidRPr="00956BE7" w:rsidRDefault="00063CB0" w:rsidP="00063CB0">
      <w:pPr>
        <w:spacing w:line="240" w:lineRule="auto"/>
        <w:jc w:val="both"/>
        <w:rPr>
          <w:rFonts w:cstheme="minorHAnsi"/>
          <w:b/>
          <w:sz w:val="19"/>
          <w:szCs w:val="19"/>
        </w:rPr>
      </w:pPr>
      <w:r w:rsidRPr="00956BE7">
        <w:rPr>
          <w:rFonts w:cstheme="minorHAnsi"/>
          <w:b/>
          <w:sz w:val="19"/>
          <w:szCs w:val="19"/>
        </w:rPr>
        <w:t xml:space="preserve">I. Wykreśla się </w:t>
      </w:r>
      <w:r w:rsidRPr="00956BE7">
        <w:rPr>
          <w:rFonts w:cstheme="minorHAnsi"/>
          <w:b/>
          <w:sz w:val="19"/>
          <w:szCs w:val="19"/>
        </w:rPr>
        <w:t>w całości załącznik nr 2</w:t>
      </w:r>
      <w:r w:rsidRPr="00956BE7">
        <w:rPr>
          <w:rFonts w:cstheme="minorHAnsi"/>
          <w:b/>
          <w:sz w:val="19"/>
          <w:szCs w:val="19"/>
        </w:rPr>
        <w:t xml:space="preserve"> do </w:t>
      </w:r>
      <w:r w:rsidRPr="00956BE7">
        <w:rPr>
          <w:rFonts w:cstheme="minorHAnsi"/>
          <w:b/>
          <w:sz w:val="19"/>
          <w:szCs w:val="19"/>
        </w:rPr>
        <w:t xml:space="preserve">umowy </w:t>
      </w:r>
      <w:r w:rsidRPr="00956BE7">
        <w:rPr>
          <w:rFonts w:cstheme="minorHAnsi"/>
          <w:b/>
          <w:sz w:val="19"/>
          <w:szCs w:val="19"/>
        </w:rPr>
        <w:t xml:space="preserve">i w to miejsce wprowadza się ZMODYFIKOWANY załącznik nr </w:t>
      </w:r>
      <w:r w:rsidRPr="00956BE7">
        <w:rPr>
          <w:rFonts w:cstheme="minorHAnsi"/>
          <w:b/>
          <w:sz w:val="19"/>
          <w:szCs w:val="19"/>
        </w:rPr>
        <w:t>2</w:t>
      </w:r>
      <w:r w:rsidRPr="00956BE7">
        <w:rPr>
          <w:rFonts w:cstheme="minorHAnsi"/>
          <w:b/>
          <w:sz w:val="19"/>
          <w:szCs w:val="19"/>
        </w:rPr>
        <w:t xml:space="preserve"> do </w:t>
      </w:r>
      <w:r w:rsidRPr="00956BE7">
        <w:rPr>
          <w:rFonts w:cstheme="minorHAnsi"/>
          <w:b/>
          <w:sz w:val="19"/>
          <w:szCs w:val="19"/>
        </w:rPr>
        <w:t>umowy</w:t>
      </w:r>
      <w:r w:rsidRPr="00956BE7">
        <w:rPr>
          <w:rFonts w:cstheme="minorHAnsi"/>
          <w:b/>
          <w:sz w:val="19"/>
          <w:szCs w:val="19"/>
        </w:rPr>
        <w:t xml:space="preserve"> w nowym brzmieniu. ZMODYFIKOWANY załącznik jest załączony do niniejszego dokumentu.</w:t>
      </w:r>
      <w:r w:rsidRPr="00956BE7">
        <w:rPr>
          <w:rFonts w:cstheme="minorHAnsi"/>
          <w:b/>
          <w:sz w:val="19"/>
          <w:szCs w:val="19"/>
        </w:rPr>
        <w:t xml:space="preserve"> </w:t>
      </w:r>
    </w:p>
    <w:p w:rsidR="00FB470B" w:rsidRPr="00956BE7" w:rsidRDefault="00063CB0" w:rsidP="00DA6B1D">
      <w:pPr>
        <w:spacing w:line="240" w:lineRule="auto"/>
        <w:jc w:val="both"/>
        <w:rPr>
          <w:rFonts w:cstheme="minorHAnsi"/>
          <w:b/>
          <w:sz w:val="19"/>
          <w:szCs w:val="19"/>
        </w:rPr>
      </w:pPr>
      <w:r w:rsidRPr="00956BE7">
        <w:rPr>
          <w:rFonts w:cstheme="minorHAnsi"/>
          <w:b/>
          <w:sz w:val="19"/>
          <w:szCs w:val="19"/>
        </w:rPr>
        <w:t>Zmodyfikowany załącznik nie powoduje istotnych zmian w związku z powyższym Zamawiający nie przesuwa terminu składania i otwarcia ofert.</w:t>
      </w:r>
    </w:p>
    <w:p w:rsidR="00883CDE" w:rsidRPr="00956BE7" w:rsidRDefault="00883CDE" w:rsidP="00DA6B1D">
      <w:pPr>
        <w:spacing w:line="240" w:lineRule="auto"/>
        <w:jc w:val="both"/>
        <w:rPr>
          <w:rFonts w:cstheme="minorHAnsi"/>
          <w:sz w:val="19"/>
          <w:szCs w:val="19"/>
        </w:rPr>
      </w:pPr>
      <w:r w:rsidRPr="00956BE7">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074EBB" w:rsidRDefault="00074EBB"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15" w:name="_GoBack"/>
      <w:bookmarkEnd w:id="15"/>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74EBB">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074EBB">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A6B1D">
      <w:rPr>
        <w:rFonts w:cstheme="minorHAnsi"/>
      </w:rPr>
      <w:t>1</w:t>
    </w:r>
    <w:r w:rsidR="00EA198E">
      <w:rPr>
        <w:rFonts w:cstheme="minorHAnsi"/>
      </w:rPr>
      <w:t>9</w:t>
    </w:r>
    <w:r w:rsidR="00182086">
      <w:rPr>
        <w:rFonts w:cstheme="minorHAnsi"/>
      </w:rPr>
      <w:t>-</w:t>
    </w:r>
    <w:r w:rsidR="00D73922">
      <w:rPr>
        <w:rFonts w:cstheme="minorHAnsi"/>
      </w:rPr>
      <w:t>0</w:t>
    </w:r>
    <w:r w:rsidR="00DA6B1D">
      <w:rPr>
        <w:rFonts w:cstheme="minorHAnsi"/>
      </w:rPr>
      <w:t>8</w:t>
    </w:r>
    <w:r w:rsidR="00182086">
      <w:rPr>
        <w:rFonts w:cstheme="minorHAnsi"/>
      </w:rPr>
      <w:t>-20</w:t>
    </w:r>
    <w:r w:rsidR="00D73922">
      <w:rPr>
        <w:rFonts w:cstheme="minorHAnsi"/>
      </w:rPr>
      <w:t>2</w:t>
    </w:r>
    <w:r w:rsidR="00347416">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8"/>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B5AD0"/>
    <w:rsid w:val="001C1337"/>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FB3"/>
    <w:rsid w:val="009E1723"/>
    <w:rsid w:val="009E5466"/>
    <w:rsid w:val="00A114DC"/>
    <w:rsid w:val="00A249E6"/>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A6B1D"/>
    <w:rsid w:val="00DC019F"/>
    <w:rsid w:val="00DD685C"/>
    <w:rsid w:val="00DF676F"/>
    <w:rsid w:val="00DF7F3A"/>
    <w:rsid w:val="00E001A5"/>
    <w:rsid w:val="00E00321"/>
    <w:rsid w:val="00E052E9"/>
    <w:rsid w:val="00E129AB"/>
    <w:rsid w:val="00E2195C"/>
    <w:rsid w:val="00E57712"/>
    <w:rsid w:val="00E8223A"/>
    <w:rsid w:val="00E82F8E"/>
    <w:rsid w:val="00E93CFD"/>
    <w:rsid w:val="00EA198E"/>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0EF9-C827-4DDC-B1B9-55AB2395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2386</Words>
  <Characters>14317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66</cp:revision>
  <cp:lastPrinted>2020-07-15T11:46:00Z</cp:lastPrinted>
  <dcterms:created xsi:type="dcterms:W3CDTF">2020-04-01T07:46:00Z</dcterms:created>
  <dcterms:modified xsi:type="dcterms:W3CDTF">2021-08-19T06:10:00Z</dcterms:modified>
</cp:coreProperties>
</file>