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6B3D" w14:textId="77777777" w:rsidR="00315952" w:rsidRDefault="00000000">
      <w:pPr>
        <w:pStyle w:val="Bezodstpw"/>
        <w:jc w:val="center"/>
        <w:rPr>
          <w:b/>
          <w:sz w:val="20"/>
          <w:szCs w:val="20"/>
          <w:lang w:val="pl-PL"/>
        </w:rPr>
      </w:pPr>
      <w:bookmarkStart w:id="0" w:name="_Hlk159418761"/>
      <w:r>
        <w:rPr>
          <w:b/>
          <w:sz w:val="20"/>
          <w:szCs w:val="20"/>
          <w:lang w:val="pl-PL"/>
        </w:rPr>
        <w:t>Wstępny Opis Przedmiotu Zamówienia</w:t>
      </w:r>
    </w:p>
    <w:p w14:paraId="657FD6C7" w14:textId="77777777" w:rsidR="00315952" w:rsidRDefault="00000000">
      <w:pPr>
        <w:pStyle w:val="Bezodstpw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systemu Contact Center</w:t>
      </w:r>
    </w:p>
    <w:p w14:paraId="745F8567" w14:textId="77777777" w:rsidR="00315952" w:rsidRDefault="00315952">
      <w:pPr>
        <w:pStyle w:val="Bezodstpw"/>
        <w:jc w:val="center"/>
        <w:rPr>
          <w:b/>
          <w:sz w:val="20"/>
          <w:szCs w:val="20"/>
          <w:lang w:val="pl-PL"/>
        </w:rPr>
      </w:pPr>
    </w:p>
    <w:p w14:paraId="0F8DBCF4" w14:textId="77777777" w:rsidR="00315952" w:rsidRDefault="00315952">
      <w:pPr>
        <w:pStyle w:val="Bezodstpw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B968BEC" w14:textId="77777777" w:rsidR="00315952" w:rsidRDefault="00000000">
      <w:pPr>
        <w:pStyle w:val="Bezodstpw"/>
        <w:jc w:val="both"/>
      </w:pPr>
      <w:r>
        <w:rPr>
          <w:rFonts w:ascii="Times New Roman" w:hAnsi="Times New Roman"/>
          <w:bCs/>
          <w:sz w:val="20"/>
          <w:szCs w:val="20"/>
          <w:lang w:val="pl-PL"/>
        </w:rPr>
        <w:t>1. Przedmiotem zakupu jest świadczenie usług wsparcia i rozwoju, nabycie licencji w modelu subskrypcyjnym oraz maintenance do oprogramowania Genesys – Opis systemu Contact Center (</w:t>
      </w:r>
      <w:r>
        <w:rPr>
          <w:rFonts w:ascii="Times New Roman" w:hAnsi="Times New Roman"/>
          <w:b/>
          <w:sz w:val="20"/>
          <w:szCs w:val="20"/>
          <w:lang w:val="pl-PL"/>
        </w:rPr>
        <w:t>załącznik nr 3).</w:t>
      </w:r>
    </w:p>
    <w:p w14:paraId="6982A7CF" w14:textId="77777777" w:rsidR="00315952" w:rsidRDefault="00000000">
      <w:pPr>
        <w:pStyle w:val="Bezodstpw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2. W ramach wykonania przedmiotu Umowy, Wykonawca zobowiązuje się w szczególności do: </w:t>
      </w:r>
    </w:p>
    <w:p w14:paraId="546CB08D" w14:textId="77777777" w:rsidR="00315952" w:rsidRDefault="00000000">
      <w:pPr>
        <w:pStyle w:val="Bezodstpw"/>
        <w:jc w:val="both"/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a) </w:t>
      </w:r>
      <w:bookmarkStart w:id="1" w:name="_Hlk162521542"/>
      <w:r>
        <w:rPr>
          <w:rFonts w:ascii="Times New Roman" w:hAnsi="Times New Roman"/>
          <w:bCs/>
          <w:sz w:val="20"/>
          <w:szCs w:val="20"/>
          <w:lang w:val="pl-PL"/>
        </w:rPr>
        <w:t xml:space="preserve">zapewnienia dostępu do subskrypcji czasowych (w tym Maintenance Systemu) w zakresie licencji wyszczególnionych w </w:t>
      </w:r>
      <w:r>
        <w:rPr>
          <w:rFonts w:ascii="Times New Roman" w:hAnsi="Times New Roman"/>
          <w:b/>
          <w:sz w:val="20"/>
          <w:szCs w:val="20"/>
          <w:lang w:val="pl-PL"/>
        </w:rPr>
        <w:t>załączniku nr 1</w:t>
      </w:r>
      <w:r>
        <w:rPr>
          <w:rFonts w:ascii="Times New Roman" w:hAnsi="Times New Roman"/>
          <w:bCs/>
          <w:sz w:val="20"/>
          <w:szCs w:val="20"/>
          <w:lang w:val="pl-PL"/>
        </w:rPr>
        <w:t>– w okresie sześciu (6) lub osiemnastu (18) lub trzydziestu (30) miesięcy</w:t>
      </w:r>
      <w:bookmarkEnd w:id="1"/>
      <w:r>
        <w:rPr>
          <w:rFonts w:ascii="Times New Roman" w:hAnsi="Times New Roman"/>
          <w:bCs/>
          <w:sz w:val="20"/>
          <w:szCs w:val="20"/>
          <w:lang w:val="pl-PL"/>
        </w:rPr>
        <w:t xml:space="preserve"> od dnia 28.04.2025</w:t>
      </w:r>
    </w:p>
    <w:p w14:paraId="68BDF0D4" w14:textId="77777777" w:rsidR="00315952" w:rsidRDefault="00000000">
      <w:pPr>
        <w:pStyle w:val="Bezodstpw"/>
        <w:jc w:val="both"/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b) </w:t>
      </w:r>
      <w:bookmarkStart w:id="2" w:name="_Hlk162521831"/>
      <w:r>
        <w:rPr>
          <w:rFonts w:ascii="Times New Roman" w:hAnsi="Times New Roman"/>
          <w:bCs/>
          <w:sz w:val="20"/>
          <w:szCs w:val="20"/>
          <w:lang w:val="pl-PL"/>
        </w:rPr>
        <w:t xml:space="preserve">zapewnienia Maintenance Systemu w zakresie licencji wieczystych wyszczególnionych w </w:t>
      </w:r>
      <w:r>
        <w:rPr>
          <w:rFonts w:ascii="Times New Roman" w:hAnsi="Times New Roman"/>
          <w:b/>
          <w:sz w:val="20"/>
          <w:szCs w:val="20"/>
          <w:lang w:val="pl-PL"/>
        </w:rPr>
        <w:t>załączniku nr 1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– w okresie dwunastu (12) lub dwudziestu czterech (24) lub trzydziestu sześciu (36) miesięc</w:t>
      </w:r>
      <w:bookmarkEnd w:id="2"/>
      <w:r>
        <w:rPr>
          <w:rFonts w:ascii="Times New Roman" w:hAnsi="Times New Roman"/>
          <w:bCs/>
          <w:sz w:val="20"/>
          <w:szCs w:val="20"/>
          <w:lang w:val="pl-PL"/>
        </w:rPr>
        <w:t>y od dnia 24.10.2024</w:t>
      </w:r>
    </w:p>
    <w:p w14:paraId="59CCEC86" w14:textId="77777777" w:rsidR="00315952" w:rsidRDefault="00000000">
      <w:pPr>
        <w:pStyle w:val="Bezodstpw"/>
        <w:jc w:val="both"/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c) </w:t>
      </w:r>
      <w:bookmarkStart w:id="3" w:name="_Hlk162522045"/>
      <w:r>
        <w:rPr>
          <w:rFonts w:ascii="Times New Roman" w:hAnsi="Times New Roman"/>
          <w:bCs/>
          <w:sz w:val="20"/>
          <w:szCs w:val="20"/>
          <w:lang w:val="pl-PL"/>
        </w:rPr>
        <w:t xml:space="preserve">świadczenia usług utrzymania i konserwacji Systemu (Usługi Asysty Technicznej) zgodnie z postanowieniami </w:t>
      </w:r>
      <w:r>
        <w:rPr>
          <w:rFonts w:ascii="Times New Roman" w:hAnsi="Times New Roman"/>
          <w:b/>
          <w:sz w:val="20"/>
          <w:szCs w:val="20"/>
          <w:lang w:val="pl-PL"/>
        </w:rPr>
        <w:t>załącznika nr 2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 - w okresie dwunastu (12) lub dwudziestu czterech (24) lub trzydziestu sześciu (36) miesięcy od dnia 24.10.2024</w:t>
      </w:r>
    </w:p>
    <w:bookmarkEnd w:id="3"/>
    <w:p w14:paraId="259AC605" w14:textId="77777777" w:rsidR="00315952" w:rsidRDefault="00000000">
      <w:pPr>
        <w:pStyle w:val="Bezodstpw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d) świadczenie Usługi Konsultacji zgodnie z Umową do wyczerpania maksymalnej puli godzin określonej poniżej;</w:t>
      </w:r>
    </w:p>
    <w:p w14:paraId="3DAB7287" w14:textId="77777777" w:rsidR="00315952" w:rsidRDefault="0000000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Wykonawca zapewni Zamawiającemu możliwość skorzystania z konsultacji w tym prac programistycznych do:</w:t>
      </w:r>
    </w:p>
    <w:p w14:paraId="75556E2C" w14:textId="77777777" w:rsidR="00315952" w:rsidRDefault="00000000">
      <w:pPr>
        <w:numPr>
          <w:ilvl w:val="0"/>
          <w:numId w:val="8"/>
        </w:numPr>
        <w:spacing w:before="20" w:after="0" w:line="264" w:lineRule="auto"/>
        <w:ind w:hanging="357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500 godzin ale nie mniej niż 200, przez okres wskazany w Umowie,</w:t>
      </w:r>
    </w:p>
    <w:p w14:paraId="6970729C" w14:textId="77777777" w:rsidR="00315952" w:rsidRDefault="00000000">
      <w:pPr>
        <w:numPr>
          <w:ilvl w:val="0"/>
          <w:numId w:val="8"/>
        </w:numPr>
        <w:spacing w:before="20" w:after="0" w:line="264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dodatkowych 50 godzin konsultacji w okresie obowiązywania Umowy, przy czym Zamawiający zastrzega, że dodatkowe godziny konsultacji będą wykorzystane w pierwszej kolejności i bez dodatkowego wynagrodzenia.</w:t>
      </w:r>
    </w:p>
    <w:p w14:paraId="19E9C8C7" w14:textId="77777777" w:rsidR="00315952" w:rsidRDefault="00000000">
      <w:pPr>
        <w:pStyle w:val="Bezodstpw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Łączna liczba konsultacji w tym prac programistycznych udzielonych/zrealizowanych w danym miesiącu, po ich zsumowaniu, będzie zaokrąglona do pełnej godziny, zgodnie z zasadą że jeśli zsumowana wartość przekracza pełną godzinę powyżej 30 minut, jest zaokrąglana do kolejnej pełnej godziny.</w:t>
      </w:r>
    </w:p>
    <w:p w14:paraId="38C848AB" w14:textId="77777777" w:rsidR="00315952" w:rsidRDefault="00315952">
      <w:pPr>
        <w:pStyle w:val="Bezodstpw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698A1CF" w14:textId="77777777" w:rsidR="00315952" w:rsidRDefault="00315952">
      <w:pPr>
        <w:pStyle w:val="Bezodstpw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58846C4C" w14:textId="77777777" w:rsidR="00315952" w:rsidRDefault="00315952">
      <w:pPr>
        <w:pStyle w:val="Bezodstpw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6B3B813D" w14:textId="77777777" w:rsidR="00315952" w:rsidRDefault="00000000">
      <w:pPr>
        <w:rPr>
          <w:rFonts w:cs="Calibri"/>
          <w:b/>
          <w:bCs/>
          <w:sz w:val="18"/>
          <w:szCs w:val="18"/>
          <w:lang w:val="pl-PL"/>
        </w:rPr>
      </w:pPr>
      <w:bookmarkStart w:id="4" w:name="_Hlk162521868"/>
      <w:r>
        <w:rPr>
          <w:rFonts w:cs="Calibri"/>
          <w:b/>
          <w:bCs/>
          <w:sz w:val="18"/>
          <w:szCs w:val="18"/>
          <w:lang w:val="pl-PL"/>
        </w:rPr>
        <w:t>Załącznik nr 1 OPROGRAMOWANIE POSIADANE PRZEZ ZAMAWIAJĄCEGO</w:t>
      </w:r>
    </w:p>
    <w:bookmarkEnd w:id="4"/>
    <w:p w14:paraId="64D9F4FF" w14:textId="77777777" w:rsidR="00315952" w:rsidRDefault="00000000">
      <w:r>
        <w:rPr>
          <w:noProof/>
        </w:rPr>
        <w:drawing>
          <wp:inline distT="0" distB="0" distL="0" distR="0" wp14:anchorId="7E951888" wp14:editId="38DB1BA2">
            <wp:extent cx="5578690" cy="2405539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8690" cy="24055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98D3F3" w14:textId="77777777" w:rsidR="00315952" w:rsidRDefault="00315952">
      <w:pPr>
        <w:rPr>
          <w:rFonts w:cs="Calibri"/>
          <w:sz w:val="18"/>
          <w:szCs w:val="18"/>
        </w:rPr>
      </w:pPr>
    </w:p>
    <w:p w14:paraId="3A07C7AD" w14:textId="77777777" w:rsidR="00315952" w:rsidRDefault="00315952">
      <w:pPr>
        <w:rPr>
          <w:rFonts w:cs="Calibri"/>
          <w:sz w:val="18"/>
          <w:szCs w:val="18"/>
        </w:rPr>
      </w:pPr>
    </w:p>
    <w:p w14:paraId="57840CBE" w14:textId="77777777" w:rsidR="00315952" w:rsidRDefault="00315952">
      <w:pPr>
        <w:rPr>
          <w:rFonts w:cs="Calibri"/>
          <w:sz w:val="18"/>
          <w:szCs w:val="18"/>
        </w:rPr>
      </w:pPr>
    </w:p>
    <w:p w14:paraId="7FE9A724" w14:textId="77777777" w:rsidR="00315952" w:rsidRDefault="00315952">
      <w:pPr>
        <w:rPr>
          <w:rFonts w:cs="Calibri"/>
          <w:sz w:val="18"/>
          <w:szCs w:val="18"/>
        </w:rPr>
      </w:pPr>
    </w:p>
    <w:p w14:paraId="41BE1347" w14:textId="77777777" w:rsidR="00315952" w:rsidRDefault="00315952">
      <w:pPr>
        <w:rPr>
          <w:rFonts w:cs="Calibri"/>
          <w:sz w:val="18"/>
          <w:szCs w:val="18"/>
        </w:rPr>
      </w:pPr>
    </w:p>
    <w:p w14:paraId="33F666BB" w14:textId="77777777" w:rsidR="00315952" w:rsidRDefault="00315952">
      <w:pPr>
        <w:rPr>
          <w:rFonts w:cs="Calibri"/>
          <w:sz w:val="18"/>
          <w:szCs w:val="18"/>
        </w:rPr>
      </w:pPr>
    </w:p>
    <w:p w14:paraId="0ECFE8E8" w14:textId="77777777" w:rsidR="00315952" w:rsidRDefault="00315952">
      <w:pPr>
        <w:rPr>
          <w:rFonts w:cs="Calibri"/>
          <w:sz w:val="18"/>
          <w:szCs w:val="18"/>
        </w:rPr>
      </w:pPr>
    </w:p>
    <w:p w14:paraId="5926BF02" w14:textId="77777777" w:rsidR="00315952" w:rsidRDefault="00315952">
      <w:pPr>
        <w:rPr>
          <w:rFonts w:cs="Calibri"/>
          <w:sz w:val="18"/>
          <w:szCs w:val="18"/>
        </w:rPr>
      </w:pPr>
    </w:p>
    <w:p w14:paraId="3E7A8871" w14:textId="77777777" w:rsidR="00315952" w:rsidRDefault="00000000">
      <w:pPr>
        <w:rPr>
          <w:rFonts w:cs="Calibri"/>
          <w:b/>
          <w:bCs/>
          <w:sz w:val="18"/>
          <w:szCs w:val="18"/>
        </w:rPr>
      </w:pPr>
      <w:bookmarkStart w:id="5" w:name="_Hlk162521582"/>
      <w:r>
        <w:rPr>
          <w:rFonts w:cs="Calibri"/>
          <w:b/>
          <w:bCs/>
          <w:sz w:val="18"/>
          <w:szCs w:val="18"/>
        </w:rPr>
        <w:t>Model licencji subskrypcyjnej - Subscription license model</w:t>
      </w:r>
    </w:p>
    <w:tbl>
      <w:tblPr>
        <w:tblW w:w="76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701"/>
        <w:gridCol w:w="1985"/>
      </w:tblGrid>
      <w:tr w:rsidR="00315952" w14:paraId="1EF11649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3349" w14:textId="77777777" w:rsidR="00315952" w:rsidRDefault="00000000">
            <w:r>
              <w:rPr>
                <w:rFonts w:cs="Calibri"/>
                <w:b/>
                <w:bCs/>
                <w:sz w:val="18"/>
                <w:szCs w:val="18"/>
                <w:lang w:val="pl-PL"/>
              </w:rPr>
              <w:t>Product</w:t>
            </w:r>
          </w:p>
        </w:tc>
        <w:tc>
          <w:tcPr>
            <w:tcW w:w="1701" w:type="dxa"/>
            <w:tcBorders>
              <w:top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685C" w14:textId="77777777" w:rsidR="00315952" w:rsidRDefault="00000000">
            <w:r>
              <w:rPr>
                <w:rFonts w:cs="Calibri"/>
                <w:b/>
                <w:bCs/>
                <w:sz w:val="18"/>
                <w:szCs w:val="18"/>
                <w:lang w:val="pl-PL"/>
              </w:rPr>
              <w:t>APN Number</w:t>
            </w:r>
          </w:p>
        </w:tc>
        <w:tc>
          <w:tcPr>
            <w:tcW w:w="1985" w:type="dxa"/>
            <w:tcBorders>
              <w:top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808A" w14:textId="77777777" w:rsidR="00315952" w:rsidRDefault="00000000">
            <w:r>
              <w:rPr>
                <w:rFonts w:cs="Calibri"/>
                <w:b/>
                <w:bCs/>
                <w:sz w:val="18"/>
                <w:szCs w:val="18"/>
                <w:lang w:val="pl-PL"/>
              </w:rPr>
              <w:t>Quantity</w:t>
            </w:r>
          </w:p>
        </w:tc>
      </w:tr>
      <w:tr w:rsidR="00315952" w14:paraId="22F1AF77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B46E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Genesys CIM Platform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A57F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3GP94841ACAA-SUB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C230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62D3F3E3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1DCE" w14:textId="77777777" w:rsidR="00315952" w:rsidRDefault="000000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Genesys Customer Experience Insights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3CCD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3GP84586ACAA-SUB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83EC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536C5FAC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2EBE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Genesys Info Mart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22B6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3GP21747ACAA-SUB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68B57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196D6B1E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25DE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Genesys SIP Interaction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CB46E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3GP91663ACAA-SUB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A054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5A79A799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2502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Genesys Softphone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7FAB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3GP91872ACAA-SUB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709A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46083422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88C1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Workspace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045E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3GP20364ACAA-SUB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6317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1B132F6D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4E0D5" w14:textId="77777777" w:rsidR="00315952" w:rsidRDefault="00000000">
            <w:r>
              <w:rPr>
                <w:rFonts w:cs="Calibri"/>
                <w:sz w:val="18"/>
                <w:szCs w:val="18"/>
                <w:lang w:val="en-AU"/>
              </w:rPr>
              <w:t>RecViewer Voice recording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151B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Custom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A2D2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</w:t>
            </w:r>
          </w:p>
        </w:tc>
      </w:tr>
      <w:tr w:rsidR="00315952" w14:paraId="4201A0E0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39F8" w14:textId="77777777" w:rsidR="00315952" w:rsidRDefault="000000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Genesys Knowledge Center - Agent - SUB</w:t>
            </w:r>
          </w:p>
        </w:tc>
        <w:tc>
          <w:tcPr>
            <w:tcW w:w="1701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C2F9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3GP105440ACAA-SUB</w:t>
            </w:r>
          </w:p>
        </w:tc>
        <w:tc>
          <w:tcPr>
            <w:tcW w:w="1985" w:type="dxa"/>
            <w:tcBorders>
              <w:bottom w:val="single" w:sz="24" w:space="0" w:color="D1D1D1"/>
              <w:right w:val="single" w:sz="24" w:space="0" w:color="D1D1D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A92A" w14:textId="77777777" w:rsidR="00315952" w:rsidRDefault="00000000">
            <w:pPr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15</w:t>
            </w:r>
          </w:p>
        </w:tc>
      </w:tr>
      <w:bookmarkEnd w:id="5"/>
    </w:tbl>
    <w:p w14:paraId="53858B70" w14:textId="77777777" w:rsidR="00315952" w:rsidRDefault="00315952">
      <w:pPr>
        <w:rPr>
          <w:rFonts w:cs="Calibri"/>
          <w:sz w:val="18"/>
          <w:szCs w:val="18"/>
          <w:lang w:val="pl-PL"/>
        </w:rPr>
      </w:pPr>
    </w:p>
    <w:p w14:paraId="45432E44" w14:textId="77777777" w:rsidR="00315952" w:rsidRDefault="00000000">
      <w:pPr>
        <w:rPr>
          <w:rFonts w:cs="Calibri"/>
          <w:b/>
          <w:bCs/>
          <w:sz w:val="18"/>
          <w:szCs w:val="18"/>
          <w:lang w:val="pl-PL"/>
        </w:rPr>
      </w:pPr>
      <w:r>
        <w:rPr>
          <w:rFonts w:cs="Calibri"/>
          <w:b/>
          <w:bCs/>
          <w:sz w:val="18"/>
          <w:szCs w:val="18"/>
          <w:lang w:val="pl-PL"/>
        </w:rPr>
        <w:t>Załącznik 2</w:t>
      </w:r>
    </w:p>
    <w:p w14:paraId="3D52B3BB" w14:textId="77777777" w:rsidR="00315952" w:rsidRDefault="00000000">
      <w:pPr>
        <w:spacing w:before="120"/>
        <w:ind w:left="66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Warunki Świadczenia Usługi Wsparcia </w:t>
      </w:r>
    </w:p>
    <w:p w14:paraId="28C5DC49" w14:textId="77777777" w:rsidR="00315952" w:rsidRDefault="00000000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Calibri"/>
          <w:sz w:val="20"/>
          <w:szCs w:val="20"/>
          <w:lang w:val="pl-PL"/>
        </w:rPr>
        <w:t xml:space="preserve">Wykonawca zobowiązuje się do świadczenia, przez okres </w:t>
      </w:r>
      <w:r>
        <w:rPr>
          <w:rFonts w:cs="Calibri"/>
          <w:bCs/>
          <w:sz w:val="20"/>
          <w:szCs w:val="20"/>
          <w:lang w:val="pl-PL"/>
        </w:rPr>
        <w:t xml:space="preserve">dwunastu (12) lub dwudziestu czterech (24) lub trzydziestu sześciu (36) </w:t>
      </w:r>
      <w:r>
        <w:rPr>
          <w:rFonts w:cs="Calibri"/>
          <w:sz w:val="20"/>
          <w:szCs w:val="20"/>
          <w:lang w:val="pl-PL"/>
        </w:rPr>
        <w:t xml:space="preserve"> miesięcy, Usługi Wsparcia dla Systemu CC przez wykwalifikowanych, polskojęzycznych inżynierów, posiadających wiedzę niezbędną do realizacji usług określonych w niniejszym załączniku.</w:t>
      </w:r>
    </w:p>
    <w:p w14:paraId="49A09DB5" w14:textId="77777777" w:rsidR="00315952" w:rsidRDefault="00000000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ramach Usługi Wsparcia Wykonawca zobowiązuje się do usuwania zgłoszonych Awarii/Usterek Systemu CC. </w:t>
      </w:r>
    </w:p>
    <w:p w14:paraId="31CF03A5" w14:textId="77777777" w:rsidR="00315952" w:rsidRDefault="00000000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Wszelkie koszty Napraw realizowanych w ramach Usługi Wsparcia ponosi Wykonawca.</w:t>
      </w:r>
    </w:p>
    <w:p w14:paraId="6DCB9114" w14:textId="77777777" w:rsidR="00315952" w:rsidRDefault="00000000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Zgłoszenia problemów związanych z nieprawidłowym działaniem Oprogramowania/Systemu CC w ramach Usługi Wsparcia będą dokonywane telefonicznie pod numerem: ……………… lub pod adresem poczty elektronicznej: …………………..Tryb przyjmowania zgłoszeń: w Dni Robocze w godzinach 7:00 - 19:00 oraz w soboty w godzinach 10:00-16:00, przy czym zgłoszenia otrzymane po godzinie 19:00 lub w soboty po godzinie 16:00 będą traktowane jako zgłoszenia otrzymane rano, następnego Dnia Roboczego lub w sobotę. Wykonawca zobowiązany jest potwierdzić przyjęcie zgłoszenia drogą elektroniczną na e- mail Zamawiającego ……………...</w:t>
      </w:r>
    </w:p>
    <w:p w14:paraId="358998B0" w14:textId="77777777" w:rsidR="00315952" w:rsidRDefault="00000000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zobowiązuje się do świadczenia Usługi Wsparcia, z zachowaniem następujących terminów:</w:t>
      </w:r>
    </w:p>
    <w:p w14:paraId="7AB36B7B" w14:textId="77777777" w:rsidR="00315952" w:rsidRDefault="00000000">
      <w:pPr>
        <w:spacing w:before="120"/>
        <w:ind w:left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1) w okresie kampanii- 4 miesiące od 1 marca do 30 czerwca: </w:t>
      </w:r>
    </w:p>
    <w:p w14:paraId="502F3BD4" w14:textId="77777777" w:rsidR="00315952" w:rsidRDefault="00000000">
      <w:pPr>
        <w:pStyle w:val="Akapitzlist"/>
        <w:numPr>
          <w:ilvl w:val="0"/>
          <w:numId w:val="10"/>
        </w:numPr>
        <w:spacing w:before="120" w:after="0" w:line="240" w:lineRule="auto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- 1 godzina, </w:t>
      </w:r>
    </w:p>
    <w:p w14:paraId="3F170E74" w14:textId="77777777" w:rsidR="00315952" w:rsidRDefault="00000000">
      <w:pPr>
        <w:pStyle w:val="Akapitzlist"/>
        <w:numPr>
          <w:ilvl w:val="0"/>
          <w:numId w:val="10"/>
        </w:numPr>
        <w:spacing w:before="120" w:after="0" w:line="240" w:lineRule="auto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realizacji (Awaria) – 1 godzina, </w:t>
      </w:r>
    </w:p>
    <w:p w14:paraId="72925B31" w14:textId="77777777" w:rsidR="00315952" w:rsidRDefault="00000000">
      <w:pPr>
        <w:pStyle w:val="Akapitzlist"/>
        <w:numPr>
          <w:ilvl w:val="0"/>
          <w:numId w:val="10"/>
        </w:numPr>
        <w:spacing w:before="120" w:after="0" w:line="240" w:lineRule="auto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realizacji (Usterka) – 6 godzin </w:t>
      </w:r>
    </w:p>
    <w:p w14:paraId="73C16BF2" w14:textId="77777777" w:rsidR="00315952" w:rsidRDefault="00000000">
      <w:pPr>
        <w:pStyle w:val="Akapitzlist"/>
        <w:spacing w:before="120"/>
        <w:ind w:left="708" w:hanging="282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 okresie poza kampanią- 8 miesięcy- od 1 lipca do końca lutego: </w:t>
      </w:r>
    </w:p>
    <w:p w14:paraId="5E571A93" w14:textId="77777777" w:rsidR="00315952" w:rsidRDefault="00000000">
      <w:pPr>
        <w:pStyle w:val="Akapitzlis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- 2 godziny, </w:t>
      </w:r>
    </w:p>
    <w:p w14:paraId="4EA35663" w14:textId="77777777" w:rsidR="00315952" w:rsidRDefault="00000000">
      <w:pPr>
        <w:pStyle w:val="Akapitzlist"/>
        <w:numPr>
          <w:ilvl w:val="0"/>
          <w:numId w:val="1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realizacji (Awaria) – 6 godzin, </w:t>
      </w:r>
    </w:p>
    <w:p w14:paraId="6B35FDC3" w14:textId="77777777" w:rsidR="00315952" w:rsidRDefault="00000000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czas realizacji (Usterka) – 48 godzin</w:t>
      </w:r>
    </w:p>
    <w:p w14:paraId="11550DF7" w14:textId="77777777" w:rsidR="00315952" w:rsidRDefault="00000000">
      <w:pPr>
        <w:pStyle w:val="Style5"/>
        <w:widowControl/>
        <w:tabs>
          <w:tab w:val="left" w:pos="851"/>
        </w:tabs>
        <w:spacing w:before="259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Czas realizacji liczony jest od momentu potwierdzenia zgłoszenia Awarii/Usterki do momentu potwierdzenia jej Naprawy przez Wykonawcę. </w:t>
      </w:r>
    </w:p>
    <w:p w14:paraId="07057468" w14:textId="77777777" w:rsidR="00315952" w:rsidRDefault="00315952">
      <w:pPr>
        <w:pStyle w:val="Style5"/>
        <w:widowControl/>
        <w:tabs>
          <w:tab w:val="left" w:pos="851"/>
        </w:tabs>
        <w:spacing w:before="259"/>
        <w:ind w:left="426"/>
        <w:jc w:val="both"/>
        <w:rPr>
          <w:rFonts w:ascii="Times New Roman" w:hAnsi="Times New Roman"/>
          <w:sz w:val="20"/>
          <w:szCs w:val="20"/>
        </w:rPr>
      </w:pPr>
    </w:p>
    <w:p w14:paraId="774F6BAE" w14:textId="77777777" w:rsidR="00315952" w:rsidRDefault="00000000">
      <w:pPr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3</w:t>
      </w:r>
    </w:p>
    <w:p w14:paraId="3CE2F15D" w14:textId="77777777" w:rsidR="00315952" w:rsidRDefault="0000000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Opis Systemu Contact Center </w:t>
      </w:r>
    </w:p>
    <w:p w14:paraId="69526010" w14:textId="77777777" w:rsidR="00315952" w:rsidRDefault="00315952">
      <w:pPr>
        <w:rPr>
          <w:rFonts w:ascii="Times New Roman" w:hAnsi="Times New Roman"/>
          <w:sz w:val="20"/>
          <w:szCs w:val="20"/>
        </w:rPr>
      </w:pPr>
    </w:p>
    <w:p w14:paraId="183C3981" w14:textId="77777777" w:rsidR="00315952" w:rsidRDefault="00000000">
      <w:pPr>
        <w:pStyle w:val="Nagwek2"/>
        <w:rPr>
          <w:lang w:val="pl-PL"/>
        </w:rPr>
      </w:pPr>
      <w:bookmarkStart w:id="6" w:name="_Toc108525534"/>
      <w:r>
        <w:rPr>
          <w:lang w:val="pl-PL"/>
        </w:rPr>
        <w:t>Ogólny opis systemu, którym dysponuje Zamawiający:</w:t>
      </w:r>
      <w:bookmarkEnd w:id="6"/>
    </w:p>
    <w:p w14:paraId="5976CEB9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Contact Center obsługuje następujące kanały komunikacji:</w:t>
      </w:r>
    </w:p>
    <w:p w14:paraId="3DE56646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Głos przychodzący,</w:t>
      </w:r>
    </w:p>
    <w:p w14:paraId="249167D1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Głos wychodzący,</w:t>
      </w:r>
    </w:p>
    <w:p w14:paraId="79489557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Poczta elektroniczna,</w:t>
      </w:r>
    </w:p>
    <w:p w14:paraId="70961154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SMS,</w:t>
      </w:r>
    </w:p>
    <w:p w14:paraId="4823C4EB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Obsługa wniosków o oddzwonienie,</w:t>
      </w:r>
    </w:p>
    <w:p w14:paraId="1F463986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Współdzielenie z klientem strony internetowej, na której przebywa klient,</w:t>
      </w:r>
    </w:p>
    <w:p w14:paraId="64198E76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Kanały społecznościowe,</w:t>
      </w:r>
    </w:p>
    <w:p w14:paraId="437B3B54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Wielokanałowa aplikacja konsultanta spójna z aplikacją pracownika w oddziale,</w:t>
      </w:r>
    </w:p>
    <w:p w14:paraId="699FE605" w14:textId="77777777" w:rsidR="00315952" w:rsidRDefault="00000000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Widok interakcji obsługiwanych w oddziale.</w:t>
      </w:r>
    </w:p>
    <w:p w14:paraId="36484C39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val="pl-PL"/>
        </w:rPr>
        <w:t xml:space="preserve">System umożliwia dystrybucję zadań do pracowników terenowych. </w:t>
      </w:r>
      <w:r>
        <w:rPr>
          <w:rFonts w:ascii="Times New Roman" w:hAnsi="Times New Roman"/>
          <w:sz w:val="20"/>
          <w:szCs w:val="20"/>
        </w:rPr>
        <w:t>Dostępne kanały:</w:t>
      </w:r>
    </w:p>
    <w:p w14:paraId="0EA0EA98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Obsługa elektronicznej wersji wniosku,</w:t>
      </w:r>
    </w:p>
    <w:p w14:paraId="4E54926C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Widok interakcji obsługiwanych w Contact Center,</w:t>
      </w:r>
    </w:p>
    <w:p w14:paraId="1D8224D5" w14:textId="77777777" w:rsidR="00315952" w:rsidRDefault="00000000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Aplikacja pracownika w oddziale spójna z aplikacją konsultanta Contact Center.</w:t>
      </w:r>
    </w:p>
    <w:p w14:paraId="24CBD2ED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umożliwia identyfikację klienta poprzez obsługiwane kanały komunikacji.</w:t>
      </w:r>
    </w:p>
    <w:p w14:paraId="3A6795E1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jest zainstalowany on-premise.</w:t>
      </w:r>
    </w:p>
    <w:p w14:paraId="32EDB307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Skonfigurowano system raportów rzeczywistych oraz historycznych.</w:t>
      </w:r>
    </w:p>
    <w:p w14:paraId="63F9E8A9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umożliwia pojedyncze logowanie przez integrację z Active Directory (Kerberos 5, szyfrowanie AES-128) i wspiera mechanizmy SSO (single sign-on).</w:t>
      </w:r>
    </w:p>
    <w:p w14:paraId="055F826D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Uprawnienia użytkowników systemu bazują na modelu ról z możliwością konfiguracji dostępności funkcjonalności oraz ograniczania dostępu do zasobów/interakcji (w zależności od posiadanych uprawnień).</w:t>
      </w:r>
    </w:p>
    <w:p w14:paraId="3C1B39B5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umożliwia tworzenie logiki obsługi interakcji oraz wybór najlepszego konsultanta w jednym graficznym narzędziu dla wszystkich kanałów interakcji z klientem, w tym telefonu, e-maili, sms, facebooka, twittera, mesengera oraz składanych wniosków.</w:t>
      </w:r>
    </w:p>
    <w:p w14:paraId="7B81B1BD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umożliwia przedstawienie wszystkich kanałów interakcji z klientem, w tym telefonicznych, emailowych, sms, facebooka, twittera, mesengera oraz składanych wniosków w jednym spójnym narzędziu raportowym.</w:t>
      </w:r>
    </w:p>
    <w:p w14:paraId="398C8976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Wybór najlepszego konsultanta – dla wszystkich kanałów – może odbywać się w oparciu o:</w:t>
      </w:r>
    </w:p>
    <w:p w14:paraId="5F8239A0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Umiejętności,</w:t>
      </w:r>
    </w:p>
    <w:p w14:paraId="21E98D16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Profil,</w:t>
      </w:r>
    </w:p>
    <w:p w14:paraId="17D6564B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Dostępność,</w:t>
      </w:r>
    </w:p>
    <w:p w14:paraId="14B931CC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Lokalizację,</w:t>
      </w:r>
    </w:p>
    <w:p w14:paraId="1FB81B94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Historię współpracy z klientem,</w:t>
      </w:r>
    </w:p>
    <w:p w14:paraId="7506C6A4" w14:textId="77777777" w:rsidR="00315952" w:rsidRDefault="00000000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Grafik dostępny w narzędziu systemu Contact Center.</w:t>
      </w:r>
    </w:p>
    <w:p w14:paraId="1FFF8587" w14:textId="77777777" w:rsidR="00315952" w:rsidRDefault="00000000">
      <w:pPr>
        <w:pStyle w:val="Akapitzlist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 przypadku nieznalezienia odpowiedniego konsultanta w oparciu o założone kryteria, system umożliwia przeprowadzenie kolejnego wyszukiwania według złagodzonych kryteriów.</w:t>
      </w:r>
    </w:p>
    <w:p w14:paraId="28B260F0" w14:textId="77777777" w:rsidR="00315952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System kierowania interakcji do konsultanta uwzględnia umiejętność konsultanta do jednoczesnej pracy z wieloma interakcjami, np. jedną rozmową telefoniczną, dwoma zadaniami.</w:t>
      </w:r>
    </w:p>
    <w:p w14:paraId="5E3DA94F" w14:textId="77777777" w:rsidR="00315952" w:rsidRDefault="00000000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  <w:lang w:val="pl-PL"/>
        </w:rPr>
        <w:t>Konsultanci w oddziałach i Contact Center mają dostęp do pełnej historii interakcji pomiędzy Zamawiającym a obsługiwanym Klientem, w tym wymienianych maili, sms i wiadomości Messenger.</w:t>
      </w:r>
      <w:bookmarkEnd w:id="0"/>
    </w:p>
    <w:sectPr w:rsidR="00315952">
      <w:footerReference w:type="default" r:id="rId9"/>
      <w:pgSz w:w="12240" w:h="15840"/>
      <w:pgMar w:top="1440" w:right="1080" w:bottom="144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DC64" w14:textId="77777777" w:rsidR="00AC3630" w:rsidRDefault="00AC3630">
      <w:pPr>
        <w:spacing w:after="0" w:line="240" w:lineRule="auto"/>
      </w:pPr>
      <w:r>
        <w:separator/>
      </w:r>
    </w:p>
  </w:endnote>
  <w:endnote w:type="continuationSeparator" w:id="0">
    <w:p w14:paraId="4AB43178" w14:textId="77777777" w:rsidR="00AC3630" w:rsidRDefault="00AC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D248" w14:textId="77777777" w:rsidR="00D53111" w:rsidRDefault="00000000">
    <w:pPr>
      <w:pStyle w:val="Stopka"/>
      <w:pBdr>
        <w:top w:val="single" w:sz="4" w:space="1" w:color="000000"/>
      </w:pBdr>
    </w:pPr>
    <w:r>
      <w:rPr>
        <w:rFonts w:ascii="Calibri Light" w:hAnsi="Calibri Light" w:cs="Calibri Light"/>
        <w:b/>
        <w:color w:val="7F7F7F"/>
        <w:sz w:val="16"/>
        <w:szCs w:val="16"/>
        <w:lang w:val="pl-PL"/>
      </w:rPr>
      <w:t xml:space="preserve">Strona </w:t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fldChar w:fldCharType="begin"/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instrText xml:space="preserve"> PAGE </w:instrText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fldChar w:fldCharType="separate"/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t>11</w:t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fldChar w:fldCharType="end"/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t xml:space="preserve"> | </w:t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tab/>
    </w:r>
    <w:r>
      <w:rPr>
        <w:rFonts w:ascii="Calibri Light" w:hAnsi="Calibri Light" w:cs="Calibri Light"/>
        <w:b/>
        <w:color w:val="7F7F7F"/>
        <w:sz w:val="16"/>
        <w:szCs w:val="16"/>
        <w:lang w:val="pl-PL"/>
      </w:rPr>
      <w:tab/>
      <w:t>Opis Przedmiotu Zamówienia system Contact Center | wersja 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6B4F" w14:textId="77777777" w:rsidR="00AC3630" w:rsidRDefault="00AC3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3C279" w14:textId="77777777" w:rsidR="00AC3630" w:rsidRDefault="00AC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8D1"/>
    <w:multiLevelType w:val="multilevel"/>
    <w:tmpl w:val="98C66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322E"/>
    <w:multiLevelType w:val="multilevel"/>
    <w:tmpl w:val="85A8DD28"/>
    <w:styleLink w:val="WWOutlineListStyle6"/>
    <w:lvl w:ilvl="0">
      <w:start w:val="1"/>
      <w:numFmt w:val="none"/>
      <w:lvlText w:val=""/>
      <w:lvlJc w:val="left"/>
    </w:lvl>
    <w:lvl w:ilvl="1">
      <w:start w:val="1"/>
      <w:numFmt w:val="decimal"/>
      <w:pStyle w:val="Nagwek2"/>
      <w:lvlText w:val="%2)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01022ED"/>
    <w:multiLevelType w:val="multilevel"/>
    <w:tmpl w:val="29D2BA5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0561894"/>
    <w:multiLevelType w:val="multilevel"/>
    <w:tmpl w:val="247020A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674C05"/>
    <w:multiLevelType w:val="multilevel"/>
    <w:tmpl w:val="4B4069C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17B59C0"/>
    <w:multiLevelType w:val="multilevel"/>
    <w:tmpl w:val="ECAE4EF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1975462"/>
    <w:multiLevelType w:val="multilevel"/>
    <w:tmpl w:val="F672021A"/>
    <w:lvl w:ilvl="0">
      <w:start w:val="1"/>
      <w:numFmt w:val="lowerLetter"/>
      <w:lvlText w:val="%1)"/>
      <w:lvlJc w:val="left"/>
      <w:pPr>
        <w:ind w:left="0" w:firstLine="35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5A837E1"/>
    <w:multiLevelType w:val="multilevel"/>
    <w:tmpl w:val="03565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800F95"/>
    <w:multiLevelType w:val="multilevel"/>
    <w:tmpl w:val="1780CE3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6C43378"/>
    <w:multiLevelType w:val="multilevel"/>
    <w:tmpl w:val="90E4E0F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5A1136"/>
    <w:multiLevelType w:val="multilevel"/>
    <w:tmpl w:val="E514E14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41E758A"/>
    <w:multiLevelType w:val="multilevel"/>
    <w:tmpl w:val="E0386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532133">
    <w:abstractNumId w:val="1"/>
  </w:num>
  <w:num w:numId="2" w16cid:durableId="399331108">
    <w:abstractNumId w:val="8"/>
  </w:num>
  <w:num w:numId="3" w16cid:durableId="1412121872">
    <w:abstractNumId w:val="10"/>
  </w:num>
  <w:num w:numId="4" w16cid:durableId="628631855">
    <w:abstractNumId w:val="4"/>
  </w:num>
  <w:num w:numId="5" w16cid:durableId="713967962">
    <w:abstractNumId w:val="2"/>
  </w:num>
  <w:num w:numId="6" w16cid:durableId="948663945">
    <w:abstractNumId w:val="5"/>
  </w:num>
  <w:num w:numId="7" w16cid:durableId="1444494255">
    <w:abstractNumId w:val="3"/>
  </w:num>
  <w:num w:numId="8" w16cid:durableId="1379821725">
    <w:abstractNumId w:val="7"/>
  </w:num>
  <w:num w:numId="9" w16cid:durableId="1549755206">
    <w:abstractNumId w:val="0"/>
  </w:num>
  <w:num w:numId="10" w16cid:durableId="1800027445">
    <w:abstractNumId w:val="6"/>
  </w:num>
  <w:num w:numId="11" w16cid:durableId="680156751">
    <w:abstractNumId w:val="9"/>
  </w:num>
  <w:num w:numId="12" w16cid:durableId="318461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5952"/>
    <w:rsid w:val="00315952"/>
    <w:rsid w:val="00AC3630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586DD"/>
  <w15:docId w15:val="{97A1304C-7E3B-4DAC-8250-366E8CA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pPr>
      <w:numPr>
        <w:numId w:val="1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paragraph" w:styleId="Bezodstpw">
    <w:name w:val="No Spacing"/>
    <w:pPr>
      <w:suppressAutoHyphens/>
      <w:spacing w:after="0" w:line="240" w:lineRule="auto"/>
    </w:pPr>
    <w:rPr>
      <w:lang w:val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AkapitzlistZnak">
    <w:name w:val="Akapit z listą Znak"/>
    <w:basedOn w:val="Domylnaczcionkaakapitu"/>
    <w:rPr>
      <w:lang w:val="en-US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Cambria" w:eastAsia="Times New Roman" w:hAnsi="Cambria"/>
      <w:sz w:val="24"/>
      <w:szCs w:val="24"/>
      <w:lang w:val="pl-PL" w:eastAsia="pl-PL"/>
    </w:rPr>
  </w:style>
  <w:style w:type="numbering" w:customStyle="1" w:styleId="WWOutlineListStyle5">
    <w:name w:val="WW_OutlineListStyle_5"/>
    <w:basedOn w:val="Bezlisty"/>
    <w:pPr>
      <w:numPr>
        <w:numId w:val="2"/>
      </w:numPr>
    </w:pPr>
  </w:style>
  <w:style w:type="numbering" w:customStyle="1" w:styleId="WWOutlineListStyle4">
    <w:name w:val="WW_OutlineListStyle_4"/>
    <w:basedOn w:val="Bezlisty"/>
    <w:pPr>
      <w:numPr>
        <w:numId w:val="3"/>
      </w:numPr>
    </w:pPr>
  </w:style>
  <w:style w:type="numbering" w:customStyle="1" w:styleId="WWOutlineListStyle3">
    <w:name w:val="WW_OutlineListStyle_3"/>
    <w:basedOn w:val="Bezlisty"/>
    <w:pPr>
      <w:numPr>
        <w:numId w:val="4"/>
      </w:numPr>
    </w:pPr>
  </w:style>
  <w:style w:type="numbering" w:customStyle="1" w:styleId="WWOutlineListStyle2">
    <w:name w:val="WW_OutlineListStyle_2"/>
    <w:basedOn w:val="Bezlisty"/>
    <w:pPr>
      <w:numPr>
        <w:numId w:val="5"/>
      </w:numPr>
    </w:pPr>
  </w:style>
  <w:style w:type="numbering" w:customStyle="1" w:styleId="WWOutlineListStyle1">
    <w:name w:val="WW_OutlineListStyle_1"/>
    <w:basedOn w:val="Bezlisty"/>
    <w:pPr>
      <w:numPr>
        <w:numId w:val="6"/>
      </w:numPr>
    </w:pPr>
  </w:style>
  <w:style w:type="numbering" w:customStyle="1" w:styleId="WWOutlineListStyle">
    <w:name w:val="WW_OutlineListStyle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915A516-078D-465E-8C37-8E0D2B94FF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5580</Characters>
  <Application>Microsoft Office Word</Application>
  <DocSecurity>0</DocSecurity>
  <Lines>46</Lines>
  <Paragraphs>12</Paragraphs>
  <ScaleCrop>false</ScaleCrop>
  <Company>ARiMR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Puchalska Monika</dc:creator>
  <dc:description/>
  <cp:lastModifiedBy>Lara Łukasz</cp:lastModifiedBy>
  <cp:revision>2</cp:revision>
  <dcterms:created xsi:type="dcterms:W3CDTF">2024-04-04T11:42:00Z</dcterms:created>
  <dcterms:modified xsi:type="dcterms:W3CDTF">2024-04-04T11:42:00Z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73a728fc-03af-44bc-990b-232ca445d2a9</vt:lpwstr>
  </property>
  <property fmtid="{D5CDD505-2E9C-101B-9397-08002B2CF9AE}" pid="3" name="bjClsUserRVM">
    <vt:lpwstr>[]</vt:lpwstr>
  </property>
  <property fmtid="{D5CDD505-2E9C-101B-9397-08002B2CF9AE}" pid="4" name="bjSaver">
    <vt:lpwstr>Q1DllVRNMbswEcN2XyADzymCrIpH1au2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