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2DBE0D9" w:rsidR="00D81585" w:rsidRPr="00EC5620" w:rsidRDefault="00D81585" w:rsidP="00EC5620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46394">
        <w:rPr>
          <w:rFonts w:ascii="Arial" w:hAnsi="Arial" w:cs="Arial"/>
          <w:sz w:val="21"/>
          <w:szCs w:val="21"/>
        </w:rPr>
        <w:t>„</w:t>
      </w:r>
      <w:r w:rsidR="001E24CE" w:rsidRPr="001E24CE">
        <w:rPr>
          <w:rFonts w:ascii="Arial" w:hAnsi="Arial" w:cs="Arial"/>
          <w:b/>
          <w:sz w:val="21"/>
          <w:szCs w:val="21"/>
        </w:rPr>
        <w:t>Kompleksowe wyposażenie w meble biurowe i gabinetowe budynku Urzędu Marszałkowskiego Województwa Podlaskiego w Białymstoku przy ul. Marii Skłodowskiej Curie 14</w:t>
      </w:r>
      <w:r w:rsidR="00E4639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46394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1E24CE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7</cp:revision>
  <dcterms:created xsi:type="dcterms:W3CDTF">2022-05-06T13:14:00Z</dcterms:created>
  <dcterms:modified xsi:type="dcterms:W3CDTF">2023-01-26T12:45:00Z</dcterms:modified>
</cp:coreProperties>
</file>