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98814E" w14:textId="7AF5FA73" w:rsidR="00E02523" w:rsidRDefault="00556B0A" w:rsidP="00AB1180">
      <w:pPr>
        <w:pStyle w:val="Default"/>
        <w:tabs>
          <w:tab w:val="left" w:pos="709"/>
        </w:tabs>
        <w:spacing w:line="276" w:lineRule="auto"/>
        <w:jc w:val="center"/>
        <w:rPr>
          <w:b/>
          <w:bCs/>
          <w:sz w:val="28"/>
          <w:szCs w:val="28"/>
        </w:rPr>
      </w:pPr>
      <w:r>
        <w:rPr>
          <w:b/>
          <w:bCs/>
          <w:sz w:val="28"/>
          <w:szCs w:val="28"/>
        </w:rPr>
        <w:t>ZMIANA WYNAGRODZENIA</w:t>
      </w:r>
    </w:p>
    <w:p w14:paraId="25701617" w14:textId="77777777" w:rsidR="00E02523" w:rsidRDefault="00E02523" w:rsidP="00A35584">
      <w:pPr>
        <w:pStyle w:val="Default"/>
        <w:spacing w:line="276" w:lineRule="auto"/>
        <w:jc w:val="center"/>
        <w:rPr>
          <w:b/>
          <w:bCs/>
          <w:sz w:val="28"/>
          <w:szCs w:val="28"/>
        </w:rPr>
      </w:pPr>
    </w:p>
    <w:p w14:paraId="16175AAA" w14:textId="14903A87" w:rsidR="00E02523" w:rsidRPr="00A35584" w:rsidRDefault="00E02523" w:rsidP="00AB1180">
      <w:pPr>
        <w:pStyle w:val="Default"/>
        <w:numPr>
          <w:ilvl w:val="0"/>
          <w:numId w:val="4"/>
        </w:numPr>
        <w:spacing w:line="276" w:lineRule="auto"/>
        <w:ind w:left="426" w:hanging="437"/>
        <w:rPr>
          <w:b/>
          <w:bCs/>
        </w:rPr>
      </w:pPr>
      <w:r w:rsidRPr="004F7015">
        <w:rPr>
          <w:b/>
          <w:bCs/>
        </w:rPr>
        <w:t>ZMIANA WYNAGRODZENIA NA PODSTAWIE ART. 436 PKT 4 LIT</w:t>
      </w:r>
      <w:r w:rsidR="004F7015" w:rsidRPr="004F7015">
        <w:rPr>
          <w:b/>
          <w:bCs/>
        </w:rPr>
        <w:t>.</w:t>
      </w:r>
      <w:r w:rsidRPr="004F7015">
        <w:rPr>
          <w:b/>
          <w:bCs/>
        </w:rPr>
        <w:t xml:space="preserve"> B UPZP</w:t>
      </w:r>
    </w:p>
    <w:p w14:paraId="04DDF2C8" w14:textId="203BBDD9" w:rsidR="00E02523" w:rsidRPr="00A35584" w:rsidRDefault="00E02523" w:rsidP="00A35584">
      <w:pPr>
        <w:pStyle w:val="Default"/>
        <w:numPr>
          <w:ilvl w:val="0"/>
          <w:numId w:val="1"/>
        </w:numPr>
        <w:spacing w:before="120" w:line="276" w:lineRule="auto"/>
        <w:ind w:left="425" w:hanging="357"/>
        <w:jc w:val="both"/>
        <w:rPr>
          <w:color w:val="auto"/>
          <w:sz w:val="22"/>
          <w:szCs w:val="22"/>
        </w:rPr>
      </w:pPr>
      <w:r w:rsidRPr="00A35584">
        <w:rPr>
          <w:color w:val="auto"/>
          <w:sz w:val="22"/>
          <w:szCs w:val="22"/>
        </w:rPr>
        <w:t xml:space="preserve">W przypadku zmiany stawek podatku </w:t>
      </w:r>
      <w:r w:rsidR="00665381">
        <w:rPr>
          <w:color w:val="auto"/>
          <w:sz w:val="22"/>
          <w:szCs w:val="22"/>
        </w:rPr>
        <w:t>od towarów i usług (</w:t>
      </w:r>
      <w:r w:rsidRPr="00A35584">
        <w:rPr>
          <w:color w:val="auto"/>
          <w:sz w:val="22"/>
          <w:szCs w:val="22"/>
        </w:rPr>
        <w:t>VAT</w:t>
      </w:r>
      <w:r w:rsidR="00665381">
        <w:rPr>
          <w:color w:val="auto"/>
          <w:sz w:val="22"/>
          <w:szCs w:val="22"/>
        </w:rPr>
        <w:t>)</w:t>
      </w:r>
      <w:r w:rsidRPr="00A35584">
        <w:rPr>
          <w:color w:val="auto"/>
          <w:sz w:val="22"/>
          <w:szCs w:val="22"/>
        </w:rPr>
        <w:t xml:space="preserve"> oraz podatku akcyzowego strony każdorazowo przed wprowadzeniem zmiany wynagrodzenia brutto, są obowiązane przedstawić drugiej stronie, nie później niż w terminie 30 dni </w:t>
      </w:r>
      <w:r w:rsidRPr="00AB1180">
        <w:rPr>
          <w:color w:val="auto"/>
          <w:sz w:val="22"/>
          <w:szCs w:val="22"/>
        </w:rPr>
        <w:t>(pod rygorem odrzucenia)</w:t>
      </w:r>
      <w:r w:rsidRPr="00A35584">
        <w:rPr>
          <w:i/>
          <w:iCs/>
          <w:color w:val="auto"/>
          <w:sz w:val="22"/>
          <w:szCs w:val="22"/>
        </w:rPr>
        <w:t xml:space="preserve"> </w:t>
      </w:r>
      <w:r w:rsidRPr="00A35584">
        <w:rPr>
          <w:color w:val="auto"/>
          <w:sz w:val="22"/>
          <w:szCs w:val="22"/>
        </w:rPr>
        <w:t>od dnia wejścia w życie przepisów, pisemny wniosek zawierający uzasadnienie oraz dokumenty potwierdzające wpływ zmian stawek podatku VAT oraz podatku akcyzowego na koszty wykonania zamówienia przez Wykonawcę oraz propozycję nowego wynagrodzenia. Na potrzeby zmiany wynagrodzenia z przyczyn opisanych w niniejszym ustępie Zamawiający jest uprawniony do żądania udostępnienia stosownych dokumentów we wskazanym przez Zamawiającego terminie, weryfikacji złożonych dokumentów, żądania złożenia dodatkowych wyjaśnień i dokumentów oraz jest uprawniony do sprawdzania rzeczywistego stanu, w tym na terenie budowy. Zmiana wynagrodzenia będzie obowiązywać od następnego miesiąca po miesiącu, w którym złożono wniosek o zmianę wynagrodzenia, z zastrzeżeniem, że zmiana nie może obowiązywać wcześniej niż przed dniem wejścia w życie przepisów</w:t>
      </w:r>
      <w:r w:rsidR="00665381">
        <w:rPr>
          <w:color w:val="auto"/>
          <w:sz w:val="22"/>
          <w:szCs w:val="22"/>
        </w:rPr>
        <w:t xml:space="preserve"> uzasadniających zmianę</w:t>
      </w:r>
      <w:r w:rsidRPr="00A35584">
        <w:rPr>
          <w:color w:val="auto"/>
          <w:sz w:val="22"/>
          <w:szCs w:val="22"/>
        </w:rPr>
        <w:t xml:space="preserve">. </w:t>
      </w:r>
    </w:p>
    <w:p w14:paraId="7C72CE86" w14:textId="22A47DB6" w:rsidR="00E02523" w:rsidRPr="00A35584" w:rsidRDefault="00E02523" w:rsidP="00A35584">
      <w:pPr>
        <w:pStyle w:val="Default"/>
        <w:numPr>
          <w:ilvl w:val="0"/>
          <w:numId w:val="1"/>
        </w:numPr>
        <w:spacing w:line="276" w:lineRule="auto"/>
        <w:ind w:left="426"/>
        <w:jc w:val="both"/>
        <w:rPr>
          <w:color w:val="auto"/>
          <w:sz w:val="22"/>
          <w:szCs w:val="22"/>
        </w:rPr>
      </w:pPr>
      <w:r w:rsidRPr="00A35584">
        <w:rPr>
          <w:color w:val="auto"/>
          <w:sz w:val="22"/>
          <w:szCs w:val="22"/>
        </w:rPr>
        <w:t>W przypadku zmiany wysokości minimalnego wynagrodzenia za pracę albo wysokości minimalnej stawki godzinowej, zmiany zasad podlegania ubezpieczeniom społecznym lub ubezpieczeniu zdrowotnemu lub wysokości stawki składki na ubezpieczenia społeczne lub zdrowotne oraz zmiany zasad gromadzenia i wysokości wpłat do pracowniczych planów kapitałowych</w:t>
      </w:r>
      <w:r w:rsidR="00665381">
        <w:rPr>
          <w:color w:val="auto"/>
          <w:sz w:val="22"/>
          <w:szCs w:val="22"/>
        </w:rPr>
        <w:t>,</w:t>
      </w:r>
      <w:r w:rsidRPr="00A35584">
        <w:rPr>
          <w:color w:val="auto"/>
          <w:sz w:val="22"/>
          <w:szCs w:val="22"/>
        </w:rPr>
        <w:t xml:space="preserve"> strony każdorazowo przed wprowadzeniem zmiany wynagrodzenia brutto, są obowiązane przedstawić drugiej stronie nie później niż w terminie 30 dni (pod rygorem odrzucenia) od dnia wejścia w życie przepisów pisemny wniosek zawierający uzasadnienie oraz dokumenty potwierdzające wpływ ww. zmian na koszty wykonania zamówienia przez Wykonawcę oraz propozycję nowego wynagrodzenia. Na potrzeby zmiany wynagrodzenia z przyczyn opisanych w niniejszym ustępie Zamawiający jest uprawniony do żądania udostępnienia stosownych dokumentów we wskazanym przez Zamawiającego terminie, weryfikacji złożonych dokumentów, żądania złożenia dodatkowych wyjaśnień i dokumentów, oraz jest uprawniony do sprawdzania rzeczywistego stanu w tym na terenie budowy. Zmiana wynagrodzenia będzie należna za okres, w którym zmiany przepisów wpłynęły na koszty wykonania zamówienia, z zastrzeżeniem, że zmiana nie może obowiązywać wcześniej niż przed dniem wejścia w życie przepisów</w:t>
      </w:r>
      <w:r w:rsidR="00665381">
        <w:rPr>
          <w:color w:val="auto"/>
          <w:sz w:val="22"/>
          <w:szCs w:val="22"/>
        </w:rPr>
        <w:t xml:space="preserve"> uzasadniających zmianę</w:t>
      </w:r>
      <w:r w:rsidRPr="00A35584">
        <w:rPr>
          <w:color w:val="auto"/>
          <w:sz w:val="22"/>
          <w:szCs w:val="22"/>
        </w:rPr>
        <w:t xml:space="preserve">. </w:t>
      </w:r>
    </w:p>
    <w:p w14:paraId="5B69EE07" w14:textId="6B37E664" w:rsidR="00E02523" w:rsidRPr="00A35584" w:rsidRDefault="00E02523" w:rsidP="00A35584">
      <w:pPr>
        <w:pStyle w:val="Default"/>
        <w:numPr>
          <w:ilvl w:val="0"/>
          <w:numId w:val="1"/>
        </w:numPr>
        <w:spacing w:line="276" w:lineRule="auto"/>
        <w:ind w:left="426"/>
        <w:jc w:val="both"/>
        <w:rPr>
          <w:color w:val="auto"/>
          <w:sz w:val="22"/>
          <w:szCs w:val="22"/>
        </w:rPr>
      </w:pPr>
      <w:r w:rsidRPr="00A35584">
        <w:rPr>
          <w:color w:val="auto"/>
          <w:sz w:val="22"/>
          <w:szCs w:val="22"/>
        </w:rPr>
        <w:t xml:space="preserve">Na okoliczności wskazane w ust. 1 lub </w:t>
      </w:r>
      <w:r w:rsidR="00F91006">
        <w:rPr>
          <w:color w:val="auto"/>
          <w:sz w:val="22"/>
          <w:szCs w:val="22"/>
        </w:rPr>
        <w:t xml:space="preserve">ust. </w:t>
      </w:r>
      <w:r w:rsidRPr="00A35584">
        <w:rPr>
          <w:color w:val="auto"/>
          <w:sz w:val="22"/>
          <w:szCs w:val="22"/>
        </w:rPr>
        <w:t xml:space="preserve">2 zostaną zawarte aneksy do umowy, przy czym nieprzedłożenie lub odmowa udostępnienia dokumentów, o których mowa w ust. 1 lub 2 przez Wykonawcę w terminie 7 dni od daty żądania Zamawiającego lub niezgodność z prawdą przedłożonych dokumentów, uprawnia Zamawiającego do odmowy wyrażenia zgody na zmianę wysokości wynagrodzenia Wykonawcy. </w:t>
      </w:r>
    </w:p>
    <w:p w14:paraId="09DD6C6C" w14:textId="29FB97E5" w:rsidR="00E02523" w:rsidRPr="00A35584" w:rsidRDefault="00E02523" w:rsidP="00A35584">
      <w:pPr>
        <w:pStyle w:val="Default"/>
        <w:numPr>
          <w:ilvl w:val="0"/>
          <w:numId w:val="1"/>
        </w:numPr>
        <w:spacing w:line="276" w:lineRule="auto"/>
        <w:ind w:left="426"/>
        <w:jc w:val="both"/>
        <w:rPr>
          <w:color w:val="auto"/>
          <w:sz w:val="22"/>
          <w:szCs w:val="22"/>
        </w:rPr>
      </w:pPr>
      <w:r w:rsidRPr="00A35584">
        <w:rPr>
          <w:color w:val="auto"/>
          <w:sz w:val="22"/>
          <w:szCs w:val="22"/>
        </w:rPr>
        <w:t xml:space="preserve">Wypłata wynagrodzenia w części odpowiadającej kwocie zwiększenia z powodu zmian, o których mowa </w:t>
      </w:r>
      <w:r w:rsidR="00F91006" w:rsidRPr="00A35584">
        <w:rPr>
          <w:color w:val="auto"/>
          <w:sz w:val="22"/>
          <w:szCs w:val="22"/>
        </w:rPr>
        <w:t xml:space="preserve">w ust. 1 lub </w:t>
      </w:r>
      <w:r w:rsidR="00F91006">
        <w:rPr>
          <w:color w:val="auto"/>
          <w:sz w:val="22"/>
          <w:szCs w:val="22"/>
        </w:rPr>
        <w:t xml:space="preserve">ust. </w:t>
      </w:r>
      <w:r w:rsidR="00F91006" w:rsidRPr="00A35584">
        <w:rPr>
          <w:color w:val="auto"/>
          <w:sz w:val="22"/>
          <w:szCs w:val="22"/>
        </w:rPr>
        <w:t>2</w:t>
      </w:r>
      <w:r w:rsidRPr="00A35584">
        <w:rPr>
          <w:color w:val="auto"/>
          <w:sz w:val="22"/>
          <w:szCs w:val="22"/>
        </w:rPr>
        <w:t xml:space="preserve"> </w:t>
      </w:r>
      <w:r w:rsidRPr="00AB1180">
        <w:rPr>
          <w:color w:val="auto"/>
          <w:sz w:val="22"/>
          <w:szCs w:val="22"/>
        </w:rPr>
        <w:t>zostanie uregulowana odrębną fakturą</w:t>
      </w:r>
      <w:r w:rsidRPr="00A35584">
        <w:rPr>
          <w:b/>
          <w:bCs/>
          <w:color w:val="auto"/>
          <w:sz w:val="22"/>
          <w:szCs w:val="22"/>
        </w:rPr>
        <w:t xml:space="preserve"> </w:t>
      </w:r>
      <w:r w:rsidR="004E2261" w:rsidRPr="00AB1180">
        <w:rPr>
          <w:color w:val="auto"/>
          <w:sz w:val="22"/>
          <w:szCs w:val="22"/>
        </w:rPr>
        <w:t>wystawioną po podpisaniu protokołu</w:t>
      </w:r>
      <w:r w:rsidR="00CE3EFC">
        <w:rPr>
          <w:color w:val="auto"/>
          <w:sz w:val="22"/>
          <w:szCs w:val="22"/>
        </w:rPr>
        <w:t xml:space="preserve"> zdawczo-odbiorczego</w:t>
      </w:r>
      <w:r w:rsidR="004E2261" w:rsidRPr="00AB1180">
        <w:rPr>
          <w:color w:val="auto"/>
          <w:sz w:val="22"/>
          <w:szCs w:val="22"/>
        </w:rPr>
        <w:t xml:space="preserve"> odbioru Etapu 1 oraz protokołu</w:t>
      </w:r>
      <w:r w:rsidR="00CE3EFC">
        <w:rPr>
          <w:color w:val="auto"/>
          <w:sz w:val="22"/>
          <w:szCs w:val="22"/>
        </w:rPr>
        <w:t xml:space="preserve"> końcowego</w:t>
      </w:r>
      <w:r w:rsidR="004E2261" w:rsidRPr="00AB1180">
        <w:rPr>
          <w:color w:val="auto"/>
          <w:sz w:val="22"/>
          <w:szCs w:val="22"/>
        </w:rPr>
        <w:t xml:space="preserve">, </w:t>
      </w:r>
      <w:r w:rsidRPr="00A35584">
        <w:rPr>
          <w:color w:val="auto"/>
          <w:sz w:val="22"/>
          <w:szCs w:val="22"/>
        </w:rPr>
        <w:t xml:space="preserve">oraz pod warunkiem wypłacenia przez Wykonawcę osobom realizującym zamówienie objęte </w:t>
      </w:r>
      <w:r w:rsidR="00F91006">
        <w:rPr>
          <w:color w:val="auto"/>
          <w:sz w:val="22"/>
          <w:szCs w:val="22"/>
        </w:rPr>
        <w:t>U</w:t>
      </w:r>
      <w:r w:rsidRPr="00A35584">
        <w:rPr>
          <w:color w:val="auto"/>
          <w:sz w:val="22"/>
          <w:szCs w:val="22"/>
        </w:rPr>
        <w:t xml:space="preserve">mową należnych podwyżek i uregulowania wszystkich należności wynikających z zawartych umów, związanych z wykonaniem przedmiotu umowy wobec ZUS, urzędów skarbowych i innych właściwych podmiotów oraz przedłożenia Zamawiającemu dokumentów potwierdzających dokonanie tych wpłat. </w:t>
      </w:r>
    </w:p>
    <w:p w14:paraId="0E95119A" w14:textId="51B6E890" w:rsidR="00E02523" w:rsidRPr="00A35584" w:rsidRDefault="00E02523" w:rsidP="00A35584">
      <w:pPr>
        <w:pStyle w:val="Default"/>
        <w:numPr>
          <w:ilvl w:val="0"/>
          <w:numId w:val="1"/>
        </w:numPr>
        <w:spacing w:line="276" w:lineRule="auto"/>
        <w:ind w:left="426"/>
        <w:jc w:val="both"/>
        <w:rPr>
          <w:color w:val="auto"/>
          <w:sz w:val="22"/>
          <w:szCs w:val="22"/>
        </w:rPr>
      </w:pPr>
      <w:r w:rsidRPr="00A35584">
        <w:rPr>
          <w:color w:val="auto"/>
          <w:sz w:val="22"/>
          <w:szCs w:val="22"/>
        </w:rPr>
        <w:t xml:space="preserve">W przypadku gdy przedłożone dokumenty, o których mowa w ust. 4 nie będą potwierdzać spełnienia określonych tam obowiązków, Zamawiający może żądać od Wykonawcy w terminie 7 dni ich uzupełnienia. W przypadku nie udokumentowania wszystkich wydatków do kwoty wskazanej w aneksie, o którym mowa w ust. 3, Wykonawca zobowiązuje się do zawarcia aneksu zmniejszającego wynagrodzenie do kwoty udokumentowanej i zatwierdzonej przez Zamawiającego oraz do wystawienia korekty do faktur, o których mowa w ust. 4. </w:t>
      </w:r>
    </w:p>
    <w:p w14:paraId="6F3EA057" w14:textId="77777777" w:rsidR="004F7015" w:rsidRDefault="004F7015" w:rsidP="00A35584">
      <w:pPr>
        <w:spacing w:after="0" w:line="276" w:lineRule="auto"/>
        <w:jc w:val="both"/>
      </w:pPr>
    </w:p>
    <w:p w14:paraId="16F8F7C2" w14:textId="727D34EB" w:rsidR="004F7015" w:rsidRPr="00A35584" w:rsidRDefault="004F7015" w:rsidP="00AB1180">
      <w:pPr>
        <w:pStyle w:val="Default"/>
        <w:numPr>
          <w:ilvl w:val="0"/>
          <w:numId w:val="4"/>
        </w:numPr>
        <w:spacing w:line="276" w:lineRule="auto"/>
        <w:ind w:left="426" w:hanging="437"/>
        <w:jc w:val="both"/>
        <w:rPr>
          <w:b/>
          <w:bCs/>
        </w:rPr>
      </w:pPr>
      <w:r w:rsidRPr="004F7015">
        <w:rPr>
          <w:b/>
          <w:bCs/>
        </w:rPr>
        <w:t>ZMIANA WYNAGRODZE</w:t>
      </w:r>
      <w:r w:rsidRPr="00B62EAE">
        <w:rPr>
          <w:b/>
          <w:bCs/>
        </w:rPr>
        <w:t>NIA</w:t>
      </w:r>
      <w:r w:rsidR="00FA42B2">
        <w:rPr>
          <w:b/>
          <w:bCs/>
        </w:rPr>
        <w:t xml:space="preserve"> W ZAKRESIE DOSTAW</w:t>
      </w:r>
      <w:r w:rsidRPr="00B62EAE">
        <w:rPr>
          <w:b/>
          <w:bCs/>
        </w:rPr>
        <w:t xml:space="preserve"> AUTOBUS</w:t>
      </w:r>
      <w:r w:rsidR="00FA42B2">
        <w:rPr>
          <w:b/>
          <w:bCs/>
        </w:rPr>
        <w:t>ÓW</w:t>
      </w:r>
      <w:r w:rsidR="008B73B1">
        <w:rPr>
          <w:b/>
          <w:bCs/>
        </w:rPr>
        <w:t xml:space="preserve"> ORAZ</w:t>
      </w:r>
      <w:r w:rsidR="00AA40CA" w:rsidRPr="00B62EAE">
        <w:rPr>
          <w:b/>
          <w:bCs/>
        </w:rPr>
        <w:t xml:space="preserve"> URZĄDZENI</w:t>
      </w:r>
      <w:r w:rsidR="00FA42B2">
        <w:rPr>
          <w:b/>
          <w:bCs/>
        </w:rPr>
        <w:t>A</w:t>
      </w:r>
      <w:r w:rsidR="00AA40CA" w:rsidRPr="00B62EAE">
        <w:rPr>
          <w:b/>
          <w:bCs/>
        </w:rPr>
        <w:t xml:space="preserve"> DIAGNOSTYCZNE</w:t>
      </w:r>
      <w:r w:rsidR="00FA42B2">
        <w:rPr>
          <w:b/>
          <w:bCs/>
        </w:rPr>
        <w:t>GO</w:t>
      </w:r>
      <w:r w:rsidR="00B62EAE" w:rsidRPr="00B62EAE">
        <w:rPr>
          <w:b/>
          <w:bCs/>
        </w:rPr>
        <w:t xml:space="preserve"> </w:t>
      </w:r>
      <w:r w:rsidR="00CE46DC">
        <w:rPr>
          <w:b/>
          <w:bCs/>
        </w:rPr>
        <w:tab/>
      </w:r>
    </w:p>
    <w:p w14:paraId="03A1EC88" w14:textId="31CF5E40" w:rsidR="004F7015" w:rsidRPr="001A6622" w:rsidRDefault="004F7015" w:rsidP="00A35584">
      <w:pPr>
        <w:numPr>
          <w:ilvl w:val="3"/>
          <w:numId w:val="2"/>
        </w:numPr>
        <w:suppressAutoHyphens/>
        <w:spacing w:before="120" w:after="0" w:line="276" w:lineRule="auto"/>
        <w:ind w:left="284" w:hanging="284"/>
        <w:jc w:val="both"/>
        <w:rPr>
          <w:rFonts w:ascii="Arial" w:eastAsia="Palatino Linotype" w:hAnsi="Arial" w:cs="Arial"/>
          <w:bCs/>
        </w:rPr>
      </w:pPr>
      <w:r w:rsidRPr="001A6622">
        <w:rPr>
          <w:rFonts w:ascii="Arial" w:eastAsia="Calibri" w:hAnsi="Arial" w:cs="Arial"/>
        </w:rPr>
        <w:t xml:space="preserve">Strony dopuszczają zmianę wysokości wynagrodzenia należnego Wykonawcy </w:t>
      </w:r>
      <w:r w:rsidRPr="00DE61B3">
        <w:rPr>
          <w:rFonts w:ascii="Arial" w:eastAsia="Calibri" w:hAnsi="Arial" w:cs="Arial"/>
        </w:rPr>
        <w:t>za autobusy</w:t>
      </w:r>
      <w:r w:rsidR="00B62EAE">
        <w:rPr>
          <w:rFonts w:ascii="Arial" w:eastAsia="Calibri" w:hAnsi="Arial" w:cs="Arial"/>
        </w:rPr>
        <w:t xml:space="preserve">, </w:t>
      </w:r>
      <w:r w:rsidR="00392C93" w:rsidRPr="00AB1180">
        <w:rPr>
          <w:rFonts w:ascii="Arial" w:eastAsia="Calibri" w:hAnsi="Arial" w:cs="Arial"/>
        </w:rPr>
        <w:t xml:space="preserve">urządzenie diagnostyczne </w:t>
      </w:r>
      <w:r w:rsidRPr="00DE61B3">
        <w:rPr>
          <w:rFonts w:ascii="Arial" w:eastAsia="Calibri" w:hAnsi="Arial" w:cs="Arial"/>
        </w:rPr>
        <w:t>w części obejmującej ceny jednostkowe netto</w:t>
      </w:r>
      <w:r w:rsidR="00B62EAE">
        <w:rPr>
          <w:rFonts w:ascii="Arial" w:eastAsia="Calibri" w:hAnsi="Arial" w:cs="Arial"/>
        </w:rPr>
        <w:t xml:space="preserve"> (</w:t>
      </w:r>
      <w:r w:rsidR="00D1581D" w:rsidRPr="00AB1180">
        <w:rPr>
          <w:rFonts w:ascii="Arial" w:eastAsia="Calibri" w:hAnsi="Arial" w:cs="Arial"/>
        </w:rPr>
        <w:t>§</w:t>
      </w:r>
      <w:r w:rsidR="00D1581D">
        <w:rPr>
          <w:rFonts w:ascii="Arial" w:eastAsia="Calibri" w:hAnsi="Arial" w:cs="Arial"/>
        </w:rPr>
        <w:t xml:space="preserve"> 9 ust. 1 pkt 1-</w:t>
      </w:r>
      <w:r w:rsidR="00105C6E">
        <w:rPr>
          <w:rFonts w:ascii="Arial" w:eastAsia="Calibri" w:hAnsi="Arial" w:cs="Arial"/>
        </w:rPr>
        <w:t>2</w:t>
      </w:r>
      <w:r w:rsidR="00D1581D">
        <w:rPr>
          <w:rFonts w:ascii="Arial" w:eastAsia="Calibri" w:hAnsi="Arial" w:cs="Arial"/>
        </w:rPr>
        <w:t xml:space="preserve"> Umowy)</w:t>
      </w:r>
      <w:r w:rsidRPr="00DE61B3">
        <w:rPr>
          <w:rFonts w:ascii="Arial" w:eastAsia="Calibri" w:hAnsi="Arial" w:cs="Arial"/>
        </w:rPr>
        <w:t xml:space="preserve">, w </w:t>
      </w:r>
      <w:r w:rsidRPr="001A6622">
        <w:rPr>
          <w:rFonts w:ascii="Arial" w:eastAsia="Calibri" w:hAnsi="Arial" w:cs="Arial"/>
        </w:rPr>
        <w:t>przypadku zmiany (wzrostu lub obniżenia) cen materiałów lub kosztów związanych z realizacją zamówienia, według następujących zasad:</w:t>
      </w:r>
    </w:p>
    <w:p w14:paraId="75FBBD3F" w14:textId="77777777" w:rsidR="004F7015" w:rsidRPr="001A6622" w:rsidRDefault="004F7015" w:rsidP="00A35584">
      <w:pPr>
        <w:numPr>
          <w:ilvl w:val="0"/>
          <w:numId w:val="3"/>
        </w:numPr>
        <w:spacing w:after="0" w:line="276" w:lineRule="auto"/>
        <w:ind w:left="709"/>
        <w:contextualSpacing/>
        <w:jc w:val="both"/>
        <w:rPr>
          <w:rFonts w:ascii="Arial" w:eastAsia="Arial" w:hAnsi="Arial" w:cs="Arial"/>
          <w:b/>
          <w:lang w:eastAsia="pl-PL"/>
        </w:rPr>
      </w:pPr>
      <w:r w:rsidRPr="001A6622">
        <w:rPr>
          <w:rFonts w:ascii="Arial" w:eastAsia="Times New Roman" w:hAnsi="Arial" w:cs="Arial"/>
          <w:lang w:eastAsia="pl-PL"/>
        </w:rPr>
        <w:t>ceny jednostkowe netto  będą podlegały waloryzacji jednokrotnie wg następującego wzoru (z zastrzeżeniem limitu określonego poniżej):</w:t>
      </w:r>
    </w:p>
    <w:p w14:paraId="559821A8" w14:textId="77777777" w:rsidR="004F7015" w:rsidRPr="001A6622" w:rsidRDefault="004F7015" w:rsidP="00A35584">
      <w:pPr>
        <w:spacing w:after="0" w:line="276" w:lineRule="auto"/>
        <w:jc w:val="center"/>
        <w:rPr>
          <w:rFonts w:ascii="Arial" w:eastAsia="Times New Roman" w:hAnsi="Arial" w:cs="Arial"/>
          <w:b/>
          <w:bCs/>
          <w:lang w:eastAsia="pl-PL"/>
        </w:rPr>
      </w:pPr>
      <w:proofErr w:type="spellStart"/>
      <w:r w:rsidRPr="001A6622">
        <w:rPr>
          <w:rFonts w:ascii="Arial" w:eastAsia="Times New Roman" w:hAnsi="Arial" w:cs="Arial"/>
          <w:b/>
          <w:bCs/>
          <w:lang w:eastAsia="pl-PL"/>
        </w:rPr>
        <w:t>C</w:t>
      </w:r>
      <w:r w:rsidRPr="001A6622">
        <w:rPr>
          <w:rFonts w:ascii="Arial" w:eastAsia="Times New Roman" w:hAnsi="Arial" w:cs="Arial"/>
          <w:b/>
          <w:bCs/>
          <w:vertAlign w:val="subscript"/>
          <w:lang w:eastAsia="pl-PL"/>
        </w:rPr>
        <w:t>w</w:t>
      </w:r>
      <w:proofErr w:type="spellEnd"/>
      <w:r w:rsidRPr="001A6622">
        <w:rPr>
          <w:rFonts w:ascii="Arial" w:eastAsia="Times New Roman" w:hAnsi="Arial" w:cs="Arial"/>
          <w:b/>
          <w:bCs/>
          <w:vertAlign w:val="subscript"/>
          <w:lang w:eastAsia="pl-PL"/>
        </w:rPr>
        <w:t xml:space="preserve"> </w:t>
      </w:r>
      <w:r w:rsidRPr="001A6622">
        <w:rPr>
          <w:rFonts w:ascii="Arial" w:eastAsia="Times New Roman" w:hAnsi="Arial" w:cs="Arial"/>
          <w:b/>
          <w:bCs/>
          <w:lang w:eastAsia="pl-PL"/>
        </w:rPr>
        <w:t>= C</w:t>
      </w:r>
      <w:r w:rsidRPr="001A6622">
        <w:rPr>
          <w:rFonts w:ascii="Arial" w:eastAsia="Times New Roman" w:hAnsi="Arial" w:cs="Arial"/>
          <w:b/>
          <w:bCs/>
          <w:vertAlign w:val="subscript"/>
          <w:lang w:eastAsia="pl-PL"/>
        </w:rPr>
        <w:t>u</w:t>
      </w:r>
      <w:r w:rsidRPr="001A6622">
        <w:rPr>
          <w:rFonts w:ascii="Arial" w:eastAsia="Times New Roman" w:hAnsi="Arial" w:cs="Arial"/>
          <w:b/>
          <w:bCs/>
          <w:lang w:eastAsia="pl-PL"/>
        </w:rPr>
        <w:t xml:space="preserve"> x </w:t>
      </w:r>
      <w:proofErr w:type="spellStart"/>
      <w:r w:rsidRPr="001A6622">
        <w:rPr>
          <w:rFonts w:ascii="Arial" w:eastAsia="Times New Roman" w:hAnsi="Arial" w:cs="Arial"/>
          <w:b/>
          <w:bCs/>
          <w:lang w:eastAsia="pl-PL"/>
        </w:rPr>
        <w:t>W</w:t>
      </w:r>
      <w:r w:rsidRPr="001A6622">
        <w:rPr>
          <w:rFonts w:ascii="Arial" w:eastAsia="Times New Roman" w:hAnsi="Arial" w:cs="Arial"/>
          <w:b/>
          <w:bCs/>
          <w:vertAlign w:val="subscript"/>
          <w:lang w:eastAsia="pl-PL"/>
        </w:rPr>
        <w:t>w</w:t>
      </w:r>
      <w:proofErr w:type="spellEnd"/>
      <w:r w:rsidRPr="001A6622">
        <w:rPr>
          <w:rFonts w:ascii="Arial" w:eastAsia="Times New Roman" w:hAnsi="Arial" w:cs="Arial"/>
          <w:b/>
          <w:bCs/>
          <w:vertAlign w:val="subscript"/>
          <w:lang w:eastAsia="pl-PL"/>
        </w:rPr>
        <w:t xml:space="preserve"> </w:t>
      </w:r>
    </w:p>
    <w:p w14:paraId="485008F7" w14:textId="77777777" w:rsidR="004F7015" w:rsidRPr="001A6622" w:rsidRDefault="004F7015" w:rsidP="00A35584">
      <w:pPr>
        <w:spacing w:after="0" w:line="276" w:lineRule="auto"/>
        <w:ind w:left="851"/>
        <w:rPr>
          <w:rFonts w:ascii="Arial" w:eastAsia="Times New Roman" w:hAnsi="Arial" w:cs="Arial"/>
          <w:lang w:eastAsia="pl-PL"/>
        </w:rPr>
      </w:pPr>
      <w:proofErr w:type="spellStart"/>
      <w:r w:rsidRPr="001A6622">
        <w:rPr>
          <w:rFonts w:ascii="Arial" w:eastAsia="Times New Roman" w:hAnsi="Arial" w:cs="Arial"/>
          <w:lang w:eastAsia="pl-PL"/>
        </w:rPr>
        <w:t>C</w:t>
      </w:r>
      <w:r w:rsidRPr="001A6622">
        <w:rPr>
          <w:rFonts w:ascii="Arial" w:eastAsia="Times New Roman" w:hAnsi="Arial" w:cs="Arial"/>
          <w:vertAlign w:val="subscript"/>
          <w:lang w:eastAsia="pl-PL"/>
        </w:rPr>
        <w:t>w</w:t>
      </w:r>
      <w:proofErr w:type="spellEnd"/>
      <w:r w:rsidRPr="001A6622">
        <w:rPr>
          <w:rFonts w:ascii="Arial" w:eastAsia="Times New Roman" w:hAnsi="Arial" w:cs="Arial"/>
          <w:lang w:eastAsia="pl-PL"/>
        </w:rPr>
        <w:t xml:space="preserve"> - cena jednostkowa netto po waloryzacji [zł]</w:t>
      </w:r>
    </w:p>
    <w:p w14:paraId="4174CAE4" w14:textId="77777777" w:rsidR="004F7015" w:rsidRPr="001A6622" w:rsidRDefault="004F7015" w:rsidP="00A35584">
      <w:pPr>
        <w:spacing w:after="0" w:line="276" w:lineRule="auto"/>
        <w:ind w:left="851"/>
        <w:rPr>
          <w:rFonts w:ascii="Arial" w:eastAsia="Times New Roman" w:hAnsi="Arial" w:cs="Arial"/>
          <w:lang w:eastAsia="pl-PL"/>
        </w:rPr>
      </w:pPr>
      <w:r w:rsidRPr="001A6622">
        <w:rPr>
          <w:rFonts w:ascii="Arial" w:eastAsia="Times New Roman" w:hAnsi="Arial" w:cs="Arial"/>
          <w:lang w:eastAsia="pl-PL"/>
        </w:rPr>
        <w:t>C</w:t>
      </w:r>
      <w:r w:rsidRPr="001A6622">
        <w:rPr>
          <w:rFonts w:ascii="Arial" w:eastAsia="Times New Roman" w:hAnsi="Arial" w:cs="Arial"/>
          <w:vertAlign w:val="subscript"/>
          <w:lang w:eastAsia="pl-PL"/>
        </w:rPr>
        <w:t xml:space="preserve">u </w:t>
      </w:r>
      <w:r w:rsidRPr="001A6622">
        <w:rPr>
          <w:rFonts w:ascii="Arial" w:eastAsia="Times New Roman" w:hAnsi="Arial" w:cs="Arial"/>
          <w:lang w:eastAsia="pl-PL"/>
        </w:rPr>
        <w:t xml:space="preserve">- cena jednostkowa netto określona w umowie – </w:t>
      </w:r>
      <w:r w:rsidRPr="001A6622">
        <w:rPr>
          <w:rFonts w:ascii="Arial" w:eastAsia="Calibri" w:hAnsi="Arial" w:cs="Arial"/>
          <w:lang w:eastAsia="pl-PL"/>
        </w:rPr>
        <w:t>(</w:t>
      </w:r>
      <w:r w:rsidRPr="001A6622">
        <w:rPr>
          <w:rFonts w:ascii="Arial" w:eastAsia="Times New Roman" w:hAnsi="Arial" w:cs="Arial"/>
          <w:lang w:eastAsia="pl-PL"/>
        </w:rPr>
        <w:t xml:space="preserve"> przed waloryzacją) [zł]</w:t>
      </w:r>
    </w:p>
    <w:p w14:paraId="4F781086" w14:textId="77777777" w:rsidR="004F7015" w:rsidRPr="001A6622" w:rsidRDefault="004F7015" w:rsidP="00A35584">
      <w:pPr>
        <w:spacing w:after="0" w:line="276" w:lineRule="auto"/>
        <w:ind w:left="1276" w:hanging="425"/>
        <w:rPr>
          <w:rFonts w:ascii="Arial" w:eastAsia="Times New Roman" w:hAnsi="Arial" w:cs="Arial"/>
          <w:lang w:eastAsia="pl-PL"/>
        </w:rPr>
      </w:pPr>
      <w:proofErr w:type="spellStart"/>
      <w:r w:rsidRPr="001A6622">
        <w:rPr>
          <w:rFonts w:ascii="Arial" w:eastAsia="Times New Roman" w:hAnsi="Arial" w:cs="Arial"/>
          <w:lang w:eastAsia="pl-PL"/>
        </w:rPr>
        <w:t>W</w:t>
      </w:r>
      <w:r w:rsidRPr="001A6622">
        <w:rPr>
          <w:rFonts w:ascii="Arial" w:eastAsia="Times New Roman" w:hAnsi="Arial" w:cs="Arial"/>
          <w:vertAlign w:val="subscript"/>
          <w:lang w:eastAsia="pl-PL"/>
        </w:rPr>
        <w:t>w</w:t>
      </w:r>
      <w:proofErr w:type="spellEnd"/>
      <w:r w:rsidRPr="001A6622">
        <w:rPr>
          <w:rFonts w:ascii="Arial" w:eastAsia="Times New Roman" w:hAnsi="Arial" w:cs="Arial"/>
          <w:lang w:eastAsia="pl-PL"/>
        </w:rPr>
        <w:t xml:space="preserve"> - współczynnik waloryzacyjny ceny jednostkowej netto [%],wyliczony wg poniższego wzoru </w:t>
      </w:r>
    </w:p>
    <w:p w14:paraId="38985A88" w14:textId="14E5D063" w:rsidR="004F7015" w:rsidRPr="001A6622" w:rsidRDefault="004F7015" w:rsidP="00A35584">
      <w:pPr>
        <w:spacing w:after="0" w:line="276" w:lineRule="auto"/>
        <w:ind w:left="1276" w:hanging="425"/>
        <w:rPr>
          <w:rFonts w:ascii="Arial" w:eastAsia="Times New Roman" w:hAnsi="Arial" w:cs="Arial"/>
          <w:lang w:eastAsia="pl-PL"/>
        </w:rPr>
      </w:pPr>
      <w:r w:rsidRPr="001A6622">
        <w:rPr>
          <w:rFonts w:ascii="Arial" w:eastAsia="Times New Roman" w:hAnsi="Arial" w:cs="Arial"/>
          <w:lang w:eastAsia="pl-PL"/>
        </w:rPr>
        <w:t>i zaokrąglony do dwóch miejsc po przecinku:</w:t>
      </w:r>
    </w:p>
    <w:p w14:paraId="537CBA9B" w14:textId="77777777" w:rsidR="004F7015" w:rsidRPr="001A6622" w:rsidRDefault="004F7015" w:rsidP="00A35584">
      <w:pPr>
        <w:spacing w:after="0" w:line="276" w:lineRule="auto"/>
        <w:ind w:left="1276" w:hanging="425"/>
        <w:rPr>
          <w:rFonts w:ascii="Arial" w:eastAsia="Times New Roman" w:hAnsi="Arial" w:cs="Arial"/>
          <w:lang w:eastAsia="pl-PL"/>
        </w:rPr>
      </w:pPr>
    </w:p>
    <w:p w14:paraId="47D5D4BE" w14:textId="77777777" w:rsidR="004F7015" w:rsidRPr="001A6622" w:rsidRDefault="004F7015" w:rsidP="00A35584">
      <w:pPr>
        <w:spacing w:after="0" w:line="276" w:lineRule="auto"/>
        <w:ind w:left="1440"/>
        <w:jc w:val="center"/>
        <w:rPr>
          <w:rFonts w:ascii="Arial" w:eastAsia="Times New Roman" w:hAnsi="Arial" w:cs="Arial"/>
          <w:b/>
          <w:bCs/>
          <w:lang w:eastAsia="pl-PL"/>
        </w:rPr>
      </w:pPr>
      <w:proofErr w:type="spellStart"/>
      <w:r w:rsidRPr="001A6622">
        <w:rPr>
          <w:rFonts w:ascii="Arial" w:eastAsia="Times New Roman" w:hAnsi="Arial" w:cs="Arial"/>
          <w:b/>
          <w:bCs/>
          <w:lang w:eastAsia="pl-PL"/>
        </w:rPr>
        <w:t>W</w:t>
      </w:r>
      <w:r w:rsidRPr="001A6622">
        <w:rPr>
          <w:rFonts w:ascii="Arial" w:eastAsia="Times New Roman" w:hAnsi="Arial" w:cs="Arial"/>
          <w:b/>
          <w:bCs/>
          <w:vertAlign w:val="subscript"/>
          <w:lang w:eastAsia="pl-PL"/>
        </w:rPr>
        <w:t>w</w:t>
      </w:r>
      <w:proofErr w:type="spellEnd"/>
      <w:r w:rsidRPr="001A6622">
        <w:rPr>
          <w:rFonts w:ascii="Arial" w:eastAsia="Times New Roman" w:hAnsi="Arial" w:cs="Arial"/>
          <w:b/>
          <w:bCs/>
          <w:vertAlign w:val="subscript"/>
          <w:lang w:eastAsia="pl-PL"/>
        </w:rPr>
        <w:t xml:space="preserve"> </w:t>
      </w:r>
      <w:r w:rsidRPr="001A6622">
        <w:rPr>
          <w:rFonts w:ascii="Arial" w:eastAsia="Times New Roman" w:hAnsi="Arial" w:cs="Arial"/>
          <w:b/>
          <w:bCs/>
          <w:lang w:eastAsia="pl-PL"/>
        </w:rPr>
        <w:t>= (W</w:t>
      </w:r>
      <w:r w:rsidRPr="001A6622">
        <w:rPr>
          <w:rFonts w:ascii="Arial" w:eastAsia="Times New Roman" w:hAnsi="Arial" w:cs="Arial"/>
          <w:b/>
          <w:bCs/>
          <w:vertAlign w:val="subscript"/>
          <w:lang w:eastAsia="pl-PL"/>
        </w:rPr>
        <w:t>1</w:t>
      </w:r>
      <w:r w:rsidRPr="001A6622">
        <w:rPr>
          <w:rFonts w:ascii="Arial" w:eastAsia="Times New Roman" w:hAnsi="Arial" w:cs="Arial"/>
          <w:b/>
          <w:bCs/>
          <w:lang w:eastAsia="pl-PL"/>
        </w:rPr>
        <w:t>x(W</w:t>
      </w:r>
      <w:r w:rsidRPr="001A6622">
        <w:rPr>
          <w:rFonts w:ascii="Arial" w:eastAsia="Times New Roman" w:hAnsi="Arial" w:cs="Arial"/>
          <w:b/>
          <w:bCs/>
          <w:vertAlign w:val="subscript"/>
          <w:lang w:eastAsia="pl-PL"/>
        </w:rPr>
        <w:t>2</w:t>
      </w:r>
      <w:r w:rsidRPr="001A6622">
        <w:rPr>
          <w:rFonts w:ascii="Arial" w:eastAsia="Times New Roman" w:hAnsi="Arial" w:cs="Arial"/>
          <w:b/>
          <w:bCs/>
          <w:lang w:eastAsia="pl-PL"/>
        </w:rPr>
        <w:t>/100)x(W</w:t>
      </w:r>
      <w:r w:rsidRPr="001A6622">
        <w:rPr>
          <w:rFonts w:ascii="Arial" w:eastAsia="Times New Roman" w:hAnsi="Arial" w:cs="Arial"/>
          <w:b/>
          <w:bCs/>
          <w:vertAlign w:val="subscript"/>
          <w:lang w:eastAsia="pl-PL"/>
        </w:rPr>
        <w:t>3</w:t>
      </w:r>
      <w:r w:rsidRPr="001A6622">
        <w:rPr>
          <w:rFonts w:ascii="Arial" w:eastAsia="Times New Roman" w:hAnsi="Arial" w:cs="Arial"/>
          <w:b/>
          <w:bCs/>
          <w:lang w:eastAsia="pl-PL"/>
        </w:rPr>
        <w:t>/100)………x(</w:t>
      </w:r>
      <w:proofErr w:type="spellStart"/>
      <w:r w:rsidRPr="001A6622">
        <w:rPr>
          <w:rFonts w:ascii="Arial" w:eastAsia="Times New Roman" w:hAnsi="Arial" w:cs="Arial"/>
          <w:b/>
          <w:bCs/>
          <w:lang w:eastAsia="pl-PL"/>
        </w:rPr>
        <w:t>W</w:t>
      </w:r>
      <w:r w:rsidRPr="001A6622">
        <w:rPr>
          <w:rFonts w:ascii="Arial" w:eastAsia="Times New Roman" w:hAnsi="Arial" w:cs="Arial"/>
          <w:b/>
          <w:bCs/>
          <w:vertAlign w:val="subscript"/>
          <w:lang w:eastAsia="pl-PL"/>
        </w:rPr>
        <w:t>n</w:t>
      </w:r>
      <w:proofErr w:type="spellEnd"/>
      <w:r w:rsidRPr="001A6622">
        <w:rPr>
          <w:rFonts w:ascii="Arial" w:eastAsia="Times New Roman" w:hAnsi="Arial" w:cs="Arial"/>
          <w:b/>
          <w:bCs/>
          <w:lang w:eastAsia="pl-PL"/>
        </w:rPr>
        <w:t>/100)%</w:t>
      </w:r>
    </w:p>
    <w:p w14:paraId="3D796E0B" w14:textId="77777777" w:rsidR="004F7015" w:rsidRPr="001A6622" w:rsidRDefault="004F7015" w:rsidP="00A35584">
      <w:pPr>
        <w:spacing w:after="0" w:line="276" w:lineRule="auto"/>
        <w:ind w:left="1440"/>
        <w:jc w:val="center"/>
        <w:rPr>
          <w:rFonts w:ascii="Arial" w:eastAsia="Times New Roman" w:hAnsi="Arial" w:cs="Arial"/>
          <w:b/>
          <w:bCs/>
          <w:lang w:eastAsia="pl-PL"/>
        </w:rPr>
      </w:pPr>
    </w:p>
    <w:p w14:paraId="69D63332" w14:textId="5DAE9BE8" w:rsidR="00717B1C" w:rsidRPr="001A6622" w:rsidRDefault="004F7015" w:rsidP="00A35584">
      <w:pPr>
        <w:spacing w:after="0" w:line="276" w:lineRule="auto"/>
        <w:ind w:left="851"/>
        <w:jc w:val="both"/>
        <w:rPr>
          <w:rFonts w:ascii="Arial" w:eastAsia="Times New Roman" w:hAnsi="Arial" w:cs="Arial"/>
          <w:lang w:eastAsia="pl-PL"/>
        </w:rPr>
      </w:pPr>
      <w:r w:rsidRPr="001A6622">
        <w:rPr>
          <w:rFonts w:ascii="Arial" w:eastAsia="Times New Roman" w:hAnsi="Arial" w:cs="Arial"/>
          <w:lang w:eastAsia="pl-PL"/>
        </w:rPr>
        <w:t>W</w:t>
      </w:r>
      <w:r w:rsidRPr="001A6622">
        <w:rPr>
          <w:rFonts w:ascii="Arial" w:eastAsia="Times New Roman" w:hAnsi="Arial" w:cs="Arial"/>
          <w:vertAlign w:val="subscript"/>
          <w:lang w:eastAsia="pl-PL"/>
        </w:rPr>
        <w:t>1,2,3,n</w:t>
      </w:r>
      <w:r w:rsidRPr="001A6622">
        <w:rPr>
          <w:rFonts w:ascii="Arial" w:eastAsia="Times New Roman" w:hAnsi="Arial" w:cs="Arial"/>
          <w:lang w:eastAsia="pl-PL"/>
        </w:rPr>
        <w:t xml:space="preserve"> – </w:t>
      </w:r>
      <w:r w:rsidRPr="001A6622">
        <w:rPr>
          <w:rFonts w:ascii="Arial" w:eastAsia="Calibri" w:hAnsi="Arial" w:cs="Arial"/>
          <w:lang w:eastAsia="pl-PL"/>
        </w:rPr>
        <w:t>kwartalne wskaźniki wzrostu cen i usług konsumpcyjnych do kwartału (okresu) poprzedniego, ogłaszane w formie komunikatu przez Prezesa GUS na podstawie art. 25 ust. 11 ustawy z dnia 17 grudnia 1998 r. o emeryturach i rentach z Funduszu Ubezpieczeń Społecznych (Dz.U.</w:t>
      </w:r>
      <w:r w:rsidR="00C70652">
        <w:rPr>
          <w:rFonts w:ascii="Arial" w:eastAsia="Calibri" w:hAnsi="Arial" w:cs="Arial"/>
          <w:lang w:eastAsia="pl-PL"/>
        </w:rPr>
        <w:t xml:space="preserve"> z 2024 r. poz. 1631</w:t>
      </w:r>
      <w:r w:rsidRPr="001A6622">
        <w:rPr>
          <w:rFonts w:ascii="Arial" w:eastAsia="Calibri" w:hAnsi="Arial" w:cs="Arial"/>
          <w:lang w:eastAsia="pl-PL"/>
        </w:rPr>
        <w:t xml:space="preserve">), </w:t>
      </w:r>
      <w:r w:rsidRPr="001A6622">
        <w:rPr>
          <w:rFonts w:ascii="Arial" w:eastAsia="Times New Roman" w:hAnsi="Arial" w:cs="Arial"/>
          <w:lang w:eastAsia="pl-PL"/>
        </w:rPr>
        <w:t xml:space="preserve">za kolejne pełne kwartały (kalendarzowe) następujące po kwartale, w którym zawarto umowę, </w:t>
      </w:r>
      <w:r w:rsidR="00105C6E" w:rsidRPr="001A6622">
        <w:rPr>
          <w:rFonts w:ascii="Arial" w:eastAsia="Times New Roman" w:hAnsi="Arial" w:cs="Arial"/>
          <w:lang w:eastAsia="pl-PL"/>
        </w:rPr>
        <w:t xml:space="preserve">do </w:t>
      </w:r>
      <w:r w:rsidR="00105C6E">
        <w:rPr>
          <w:rFonts w:ascii="Arial" w:eastAsia="Times New Roman" w:hAnsi="Arial" w:cs="Arial"/>
          <w:lang w:eastAsia="pl-PL"/>
        </w:rPr>
        <w:t xml:space="preserve">terminu </w:t>
      </w:r>
      <w:r w:rsidR="00105C6E" w:rsidRPr="001A6622">
        <w:rPr>
          <w:rFonts w:ascii="Arial" w:eastAsia="Times New Roman" w:hAnsi="Arial" w:cs="Arial"/>
          <w:lang w:eastAsia="pl-PL"/>
        </w:rPr>
        <w:t>dostarczenia pierwszej dostawy autobusów</w:t>
      </w:r>
      <w:r w:rsidR="00105C6E">
        <w:rPr>
          <w:rFonts w:ascii="Arial" w:eastAsia="Times New Roman" w:hAnsi="Arial" w:cs="Arial"/>
          <w:lang w:eastAsia="pl-PL"/>
        </w:rPr>
        <w:t xml:space="preserve"> określonego w HRZ.</w:t>
      </w:r>
    </w:p>
    <w:p w14:paraId="0E031418" w14:textId="77777777" w:rsidR="004F7015" w:rsidRPr="001A6622" w:rsidRDefault="004F7015" w:rsidP="00AB1180">
      <w:pPr>
        <w:spacing w:after="0" w:line="276" w:lineRule="auto"/>
        <w:ind w:left="851"/>
        <w:jc w:val="both"/>
        <w:rPr>
          <w:rFonts w:ascii="Arial" w:eastAsia="Times New Roman" w:hAnsi="Arial" w:cs="Arial"/>
        </w:rPr>
      </w:pPr>
      <w:r w:rsidRPr="001A6622">
        <w:rPr>
          <w:rFonts w:ascii="Arial" w:eastAsia="Times New Roman" w:hAnsi="Arial" w:cs="Arial"/>
        </w:rPr>
        <w:t xml:space="preserve">Waloryzacja ma zastosowanie, w przypadku gdy współczynnik </w:t>
      </w:r>
      <w:proofErr w:type="spellStart"/>
      <w:r w:rsidRPr="001A6622">
        <w:rPr>
          <w:rFonts w:ascii="Arial" w:eastAsia="Times New Roman" w:hAnsi="Arial" w:cs="Arial"/>
          <w:b/>
          <w:bCs/>
        </w:rPr>
        <w:t>W</w:t>
      </w:r>
      <w:r w:rsidRPr="001A6622">
        <w:rPr>
          <w:rFonts w:ascii="Arial" w:eastAsia="Times New Roman" w:hAnsi="Arial" w:cs="Arial"/>
          <w:b/>
          <w:bCs/>
          <w:vertAlign w:val="subscript"/>
        </w:rPr>
        <w:t>w</w:t>
      </w:r>
      <w:proofErr w:type="spellEnd"/>
      <w:r w:rsidRPr="001A6622">
        <w:rPr>
          <w:rFonts w:ascii="Arial" w:eastAsia="Times New Roman" w:hAnsi="Arial" w:cs="Arial"/>
        </w:rPr>
        <w:t xml:space="preserve"> zawiera się w przedziałach:</w:t>
      </w:r>
    </w:p>
    <w:p w14:paraId="2726A3AD" w14:textId="77777777" w:rsidR="004F7015" w:rsidRPr="001A6622" w:rsidRDefault="004F7015" w:rsidP="00A35584">
      <w:pPr>
        <w:spacing w:after="0" w:line="276" w:lineRule="auto"/>
        <w:jc w:val="both"/>
        <w:rPr>
          <w:rFonts w:ascii="Arial" w:eastAsia="Times New Roman" w:hAnsi="Arial" w:cs="Arial"/>
        </w:rPr>
      </w:pPr>
      <w:r w:rsidRPr="001A6622">
        <w:rPr>
          <w:rFonts w:ascii="Arial" w:eastAsia="Times New Roman" w:hAnsi="Arial" w:cs="Arial"/>
        </w:rPr>
        <w:tab/>
        <w:t>- powyżej 106,00% - zwiększenie ceny jednostkowej netto,</w:t>
      </w:r>
    </w:p>
    <w:p w14:paraId="1061FE37" w14:textId="77777777" w:rsidR="004F7015" w:rsidRPr="001A6622" w:rsidRDefault="004F7015" w:rsidP="00A35584">
      <w:pPr>
        <w:spacing w:after="0" w:line="276" w:lineRule="auto"/>
        <w:jc w:val="both"/>
        <w:rPr>
          <w:rFonts w:ascii="Arial" w:eastAsia="Times New Roman" w:hAnsi="Arial" w:cs="Arial"/>
        </w:rPr>
      </w:pPr>
      <w:r w:rsidRPr="001A6622">
        <w:rPr>
          <w:rFonts w:ascii="Arial" w:eastAsia="Times New Roman" w:hAnsi="Arial" w:cs="Arial"/>
        </w:rPr>
        <w:tab/>
        <w:t>- poniżej 94,00 % - zmniejszenie ceny jednostkowej netto.</w:t>
      </w:r>
    </w:p>
    <w:p w14:paraId="37341655" w14:textId="77777777" w:rsidR="004F7015" w:rsidRPr="001A6622" w:rsidRDefault="004F7015" w:rsidP="00A35584">
      <w:pPr>
        <w:spacing w:after="0" w:line="276" w:lineRule="auto"/>
        <w:jc w:val="both"/>
        <w:rPr>
          <w:rFonts w:ascii="Arial" w:eastAsia="Times New Roman" w:hAnsi="Arial" w:cs="Arial"/>
          <w:sz w:val="16"/>
          <w:szCs w:val="16"/>
        </w:rPr>
      </w:pPr>
    </w:p>
    <w:p w14:paraId="1A6239B5" w14:textId="77777777" w:rsidR="004F7015" w:rsidRPr="001A6622" w:rsidRDefault="004F7015" w:rsidP="00A35584">
      <w:pPr>
        <w:numPr>
          <w:ilvl w:val="0"/>
          <w:numId w:val="3"/>
        </w:numPr>
        <w:suppressAutoHyphens/>
        <w:spacing w:after="0" w:line="276" w:lineRule="auto"/>
        <w:ind w:left="850" w:hanging="357"/>
        <w:contextualSpacing/>
        <w:jc w:val="both"/>
        <w:rPr>
          <w:rFonts w:ascii="Arial" w:eastAsia="Times New Roman" w:hAnsi="Arial" w:cs="Arial"/>
          <w:lang w:eastAsia="pl-PL"/>
        </w:rPr>
      </w:pPr>
      <w:r w:rsidRPr="001A6622">
        <w:rPr>
          <w:rFonts w:ascii="Arial" w:eastAsia="Calibri" w:hAnsi="Arial" w:cs="Arial"/>
          <w:lang w:eastAsia="pl-PL"/>
        </w:rPr>
        <w:t>Strona wykaże, że zmiana cen lub kosztów, o której mowa wyżej, ma wpływ na cenę materiałów lub kosztów związanych z realizacją zamówienia względem ceny lub kosztu przyjętych przez Wykonawcę w celu ustalenia wynagrodzenia Wykonawcy zawartego w ofercie Wykonawcy.</w:t>
      </w:r>
    </w:p>
    <w:p w14:paraId="4FE2A9BD" w14:textId="77777777" w:rsidR="004F7015" w:rsidRPr="001A6622" w:rsidRDefault="004F7015" w:rsidP="00A35584">
      <w:pPr>
        <w:suppressAutoHyphens/>
        <w:spacing w:after="0" w:line="276" w:lineRule="auto"/>
        <w:ind w:left="850"/>
        <w:contextualSpacing/>
        <w:jc w:val="both"/>
        <w:rPr>
          <w:rFonts w:ascii="Arial" w:eastAsia="Times New Roman" w:hAnsi="Arial" w:cs="Arial"/>
          <w:lang w:eastAsia="pl-PL"/>
        </w:rPr>
      </w:pPr>
    </w:p>
    <w:p w14:paraId="454C914C" w14:textId="6A33C276" w:rsidR="004F7015" w:rsidRPr="00AB1180" w:rsidRDefault="004F7015" w:rsidP="00A35584">
      <w:pPr>
        <w:numPr>
          <w:ilvl w:val="3"/>
          <w:numId w:val="2"/>
        </w:numPr>
        <w:spacing w:after="0" w:line="276" w:lineRule="auto"/>
        <w:ind w:left="425" w:hanging="426"/>
        <w:contextualSpacing/>
        <w:jc w:val="both"/>
        <w:rPr>
          <w:rFonts w:ascii="Arial" w:eastAsia="Calibri" w:hAnsi="Arial" w:cs="Arial"/>
          <w:b/>
          <w:bCs/>
          <w:color w:val="00B050"/>
          <w:lang w:eastAsia="pl-PL"/>
        </w:rPr>
      </w:pPr>
      <w:r w:rsidRPr="001A6622">
        <w:rPr>
          <w:rFonts w:ascii="Arial" w:eastAsia="Calibri" w:hAnsi="Arial" w:cs="Arial"/>
          <w:lang w:eastAsia="pl-PL"/>
        </w:rPr>
        <w:t xml:space="preserve">Strony, </w:t>
      </w:r>
      <w:r w:rsidR="00E0146E" w:rsidRPr="001A6622">
        <w:rPr>
          <w:rFonts w:ascii="Arial" w:eastAsia="Calibri" w:hAnsi="Arial" w:cs="Arial"/>
          <w:lang w:eastAsia="pl-PL"/>
        </w:rPr>
        <w:t>mogą zwrócić się o dokonanie waloryzacji na zasadach określonych w ust. 1</w:t>
      </w:r>
      <w:r w:rsidR="00E0146E">
        <w:rPr>
          <w:rFonts w:ascii="Arial" w:eastAsia="Calibri" w:hAnsi="Arial" w:cs="Arial"/>
          <w:lang w:eastAsia="pl-PL"/>
        </w:rPr>
        <w:t xml:space="preserve"> </w:t>
      </w:r>
      <w:r w:rsidRPr="001A6622">
        <w:rPr>
          <w:rFonts w:ascii="Arial" w:eastAsia="Calibri" w:hAnsi="Arial" w:cs="Arial"/>
          <w:lang w:eastAsia="pl-PL"/>
        </w:rPr>
        <w:t>w terminie nie później niż 14 dni przed pierwszą dostawą</w:t>
      </w:r>
      <w:r w:rsidR="00E0146E">
        <w:rPr>
          <w:rFonts w:ascii="Arial" w:eastAsia="Calibri" w:hAnsi="Arial" w:cs="Arial"/>
          <w:lang w:eastAsia="pl-PL"/>
        </w:rPr>
        <w:t xml:space="preserve"> autobusów</w:t>
      </w:r>
      <w:r w:rsidR="00A6167E">
        <w:rPr>
          <w:rFonts w:ascii="Arial" w:eastAsia="Calibri" w:hAnsi="Arial" w:cs="Arial"/>
          <w:lang w:eastAsia="pl-PL"/>
        </w:rPr>
        <w:t xml:space="preserve">, </w:t>
      </w:r>
    </w:p>
    <w:p w14:paraId="5452E259" w14:textId="77777777" w:rsidR="004F7015" w:rsidRPr="001A6622" w:rsidRDefault="004F7015" w:rsidP="00A35584">
      <w:pPr>
        <w:spacing w:after="0" w:line="276" w:lineRule="auto"/>
        <w:jc w:val="both"/>
        <w:rPr>
          <w:rFonts w:ascii="Arial" w:eastAsia="Calibri" w:hAnsi="Arial" w:cs="Arial"/>
        </w:rPr>
      </w:pPr>
    </w:p>
    <w:p w14:paraId="752C8762" w14:textId="5EAD8D30" w:rsidR="003C27DB" w:rsidRPr="00AB1180" w:rsidRDefault="003C27DB" w:rsidP="003C27DB">
      <w:pPr>
        <w:jc w:val="both"/>
        <w:rPr>
          <w:rFonts w:ascii="Arial" w:hAnsi="Arial" w:cs="Arial"/>
          <w:sz w:val="24"/>
          <w:szCs w:val="24"/>
        </w:rPr>
      </w:pPr>
      <w:r w:rsidRPr="00AB1180">
        <w:rPr>
          <w:rFonts w:ascii="Arial" w:eastAsia="Calibri" w:hAnsi="Arial" w:cs="Arial"/>
        </w:rPr>
        <w:t>Zamawiający zastrzega, że kwota podlegająca waloryzacji, tj. suma cen jednostkowych netto, o których mowa w ust. 1. autobusów i urządzenia diagnostycznego (w części obejmującej ich ceny jednostkowe netto), cena spr</w:t>
      </w:r>
      <w:bookmarkStart w:id="0" w:name="_GoBack"/>
      <w:bookmarkEnd w:id="0"/>
      <w:r w:rsidRPr="00AB1180">
        <w:rPr>
          <w:rFonts w:ascii="Arial" w:eastAsia="Calibri" w:hAnsi="Arial" w:cs="Arial"/>
        </w:rPr>
        <w:t>zedaży autobusów ani cena jednostkowa urządzenia diagnostycznego, nie może wzrosnąć wskutek waloryzacji o więcej niż 3% (maksymalny poziom zmiany cen na skutek waloryzacji).</w:t>
      </w:r>
    </w:p>
    <w:p w14:paraId="663AEED7" w14:textId="77777777" w:rsidR="004F7015" w:rsidRDefault="004F7015" w:rsidP="00A35584">
      <w:pPr>
        <w:spacing w:after="0" w:line="276" w:lineRule="auto"/>
        <w:jc w:val="both"/>
        <w:rPr>
          <w:sz w:val="24"/>
          <w:szCs w:val="24"/>
        </w:rPr>
      </w:pPr>
    </w:p>
    <w:p w14:paraId="7B274168" w14:textId="35F99E3B" w:rsidR="00395362" w:rsidRPr="00A35584" w:rsidRDefault="004F7015" w:rsidP="00634190">
      <w:pPr>
        <w:pStyle w:val="Default"/>
        <w:numPr>
          <w:ilvl w:val="0"/>
          <w:numId w:val="4"/>
        </w:numPr>
        <w:spacing w:line="276" w:lineRule="auto"/>
        <w:ind w:left="426" w:hanging="426"/>
        <w:jc w:val="both"/>
        <w:rPr>
          <w:b/>
          <w:bCs/>
        </w:rPr>
      </w:pPr>
      <w:r w:rsidRPr="004F7015">
        <w:rPr>
          <w:b/>
          <w:bCs/>
        </w:rPr>
        <w:t xml:space="preserve">ZMIANA WYNAGRODZENIA </w:t>
      </w:r>
      <w:r>
        <w:rPr>
          <w:b/>
          <w:bCs/>
        </w:rPr>
        <w:t>W ZAKRESIE ROBÓT BUDOWLANYCH</w:t>
      </w:r>
      <w:r w:rsidR="009F3172">
        <w:rPr>
          <w:b/>
          <w:bCs/>
        </w:rPr>
        <w:t xml:space="preserve"> ORAZ DOKUMENTACJI PROJEKTOWO-KOSZTORYSOWEJ</w:t>
      </w:r>
      <w:r>
        <w:rPr>
          <w:b/>
          <w:bCs/>
        </w:rPr>
        <w:t xml:space="preserve"> </w:t>
      </w:r>
      <w:r w:rsidRPr="004F7015">
        <w:rPr>
          <w:b/>
          <w:bCs/>
        </w:rPr>
        <w:t>NA PODSTAWIE ART. 43</w:t>
      </w:r>
      <w:r>
        <w:rPr>
          <w:b/>
          <w:bCs/>
        </w:rPr>
        <w:t>9</w:t>
      </w:r>
      <w:r w:rsidRPr="004F7015">
        <w:rPr>
          <w:b/>
          <w:bCs/>
        </w:rPr>
        <w:t xml:space="preserve"> </w:t>
      </w:r>
      <w:r>
        <w:rPr>
          <w:b/>
          <w:bCs/>
        </w:rPr>
        <w:t>UST. 1</w:t>
      </w:r>
      <w:r w:rsidRPr="004F7015">
        <w:rPr>
          <w:b/>
          <w:bCs/>
        </w:rPr>
        <w:t xml:space="preserve"> UPZP</w:t>
      </w:r>
    </w:p>
    <w:p w14:paraId="1D531079" w14:textId="1DF3CBCC" w:rsidR="00395362" w:rsidRPr="00A35584" w:rsidRDefault="00395362" w:rsidP="00A35584">
      <w:pPr>
        <w:pStyle w:val="Default"/>
        <w:numPr>
          <w:ilvl w:val="0"/>
          <w:numId w:val="5"/>
        </w:numPr>
        <w:spacing w:before="120" w:line="276" w:lineRule="auto"/>
        <w:ind w:left="425" w:hanging="357"/>
        <w:jc w:val="both"/>
        <w:rPr>
          <w:color w:val="auto"/>
          <w:sz w:val="22"/>
          <w:szCs w:val="22"/>
        </w:rPr>
      </w:pPr>
      <w:r w:rsidRPr="00A35584">
        <w:rPr>
          <w:color w:val="auto"/>
          <w:sz w:val="22"/>
          <w:szCs w:val="22"/>
        </w:rPr>
        <w:t xml:space="preserve">W przypadku zmiany cen materiałów lub kosztów związanych z realizacją zamówienia nastąpi zmniejszenie lub zwiększenie wynagrodzenia według następujących zasad: </w:t>
      </w:r>
    </w:p>
    <w:p w14:paraId="6B655B5B" w14:textId="65833F2B" w:rsidR="00395362" w:rsidRPr="00A35584" w:rsidRDefault="00395362" w:rsidP="00A35584">
      <w:pPr>
        <w:pStyle w:val="Default"/>
        <w:numPr>
          <w:ilvl w:val="1"/>
          <w:numId w:val="5"/>
        </w:numPr>
        <w:spacing w:line="276" w:lineRule="auto"/>
        <w:ind w:left="709" w:hanging="425"/>
        <w:jc w:val="both"/>
        <w:rPr>
          <w:color w:val="auto"/>
          <w:sz w:val="22"/>
          <w:szCs w:val="22"/>
        </w:rPr>
      </w:pPr>
      <w:r w:rsidRPr="00A35584">
        <w:rPr>
          <w:color w:val="auto"/>
          <w:sz w:val="22"/>
          <w:szCs w:val="22"/>
        </w:rPr>
        <w:t xml:space="preserve">każda zmiana wysokości wynagrodzenia nastąpi tylko na pisemny wniosek strony, </w:t>
      </w:r>
    </w:p>
    <w:p w14:paraId="2A6E932B" w14:textId="1C077FFF" w:rsidR="00395362" w:rsidRPr="00A35584" w:rsidRDefault="00395362" w:rsidP="00A35584">
      <w:pPr>
        <w:pStyle w:val="Default"/>
        <w:numPr>
          <w:ilvl w:val="1"/>
          <w:numId w:val="5"/>
        </w:numPr>
        <w:spacing w:line="276" w:lineRule="auto"/>
        <w:ind w:left="709" w:hanging="425"/>
        <w:jc w:val="both"/>
        <w:rPr>
          <w:color w:val="auto"/>
          <w:sz w:val="22"/>
          <w:szCs w:val="22"/>
        </w:rPr>
      </w:pPr>
      <w:r w:rsidRPr="00A35584">
        <w:rPr>
          <w:color w:val="auto"/>
          <w:sz w:val="22"/>
          <w:szCs w:val="22"/>
        </w:rPr>
        <w:t xml:space="preserve">pierwszy wniosek Wykonawca może złożyć nie wcześniej niż po upływie 6 miesięcy od daty zawarcia umowy, z zastrzeżeniem pkt 6, </w:t>
      </w:r>
    </w:p>
    <w:p w14:paraId="6F109BAE" w14:textId="66C629E2" w:rsidR="00395362" w:rsidRPr="00A35584" w:rsidRDefault="00395362" w:rsidP="00A35584">
      <w:pPr>
        <w:pStyle w:val="Default"/>
        <w:numPr>
          <w:ilvl w:val="1"/>
          <w:numId w:val="5"/>
        </w:numPr>
        <w:spacing w:line="276" w:lineRule="auto"/>
        <w:ind w:left="709" w:hanging="425"/>
        <w:jc w:val="both"/>
        <w:rPr>
          <w:color w:val="auto"/>
          <w:sz w:val="22"/>
          <w:szCs w:val="22"/>
        </w:rPr>
      </w:pPr>
      <w:r w:rsidRPr="00A35584">
        <w:rPr>
          <w:color w:val="auto"/>
          <w:sz w:val="22"/>
          <w:szCs w:val="22"/>
        </w:rPr>
        <w:lastRenderedPageBreak/>
        <w:t xml:space="preserve">każdy kolejny wniosek o zmianę wysokości wynagrodzenia z tytułu zmian cen materiałów lub kosztów związanych z realizacją zamówienia nastąpi nie wcześniej niż po upływie kolejnych 6 miesięcy od daty obowiązywania zmienionego wynagrodzenia z tego tytułu, </w:t>
      </w:r>
    </w:p>
    <w:p w14:paraId="6B3151DA" w14:textId="5B41B18B" w:rsidR="00395362" w:rsidRPr="00A35584" w:rsidRDefault="00395362" w:rsidP="00A35584">
      <w:pPr>
        <w:pStyle w:val="Default"/>
        <w:numPr>
          <w:ilvl w:val="1"/>
          <w:numId w:val="5"/>
        </w:numPr>
        <w:spacing w:line="276" w:lineRule="auto"/>
        <w:ind w:left="709" w:hanging="425"/>
        <w:jc w:val="both"/>
        <w:rPr>
          <w:color w:val="auto"/>
          <w:sz w:val="22"/>
          <w:szCs w:val="22"/>
        </w:rPr>
      </w:pPr>
      <w:r w:rsidRPr="00A35584">
        <w:rPr>
          <w:color w:val="auto"/>
          <w:sz w:val="22"/>
          <w:szCs w:val="22"/>
        </w:rPr>
        <w:t xml:space="preserve">podstawą zmiany wynagrodzenia będzie zmiana (wzrost/spadek) </w:t>
      </w:r>
      <w:r w:rsidRPr="00A35584">
        <w:rPr>
          <w:b/>
          <w:bCs/>
          <w:color w:val="auto"/>
          <w:sz w:val="22"/>
          <w:szCs w:val="22"/>
        </w:rPr>
        <w:t xml:space="preserve">cen produkcji budowlano-montażowej </w:t>
      </w:r>
      <w:r w:rsidRPr="00A35584">
        <w:rPr>
          <w:color w:val="auto"/>
          <w:sz w:val="22"/>
          <w:szCs w:val="22"/>
        </w:rPr>
        <w:t xml:space="preserve">ogłaszana w komunikatach kwartalnych Prezesa GUS kwartał do poprzedniego kwartału (publikowanych na stronie: stat.gov.pl/sygnalne/komunikaty-i-obwieszczenia/…, zakładka ceny), </w:t>
      </w:r>
    </w:p>
    <w:p w14:paraId="5E1E0AE9" w14:textId="024517A9" w:rsidR="00395362" w:rsidRPr="00A35584" w:rsidRDefault="00395362" w:rsidP="00A35584">
      <w:pPr>
        <w:pStyle w:val="Default"/>
        <w:numPr>
          <w:ilvl w:val="1"/>
          <w:numId w:val="5"/>
        </w:numPr>
        <w:spacing w:line="276" w:lineRule="auto"/>
        <w:ind w:left="709" w:hanging="425"/>
        <w:jc w:val="both"/>
        <w:rPr>
          <w:color w:val="auto"/>
          <w:sz w:val="22"/>
          <w:szCs w:val="22"/>
        </w:rPr>
      </w:pPr>
      <w:r w:rsidRPr="00A35584">
        <w:rPr>
          <w:color w:val="auto"/>
          <w:sz w:val="22"/>
          <w:szCs w:val="22"/>
        </w:rPr>
        <w:t xml:space="preserve">uprawnienie do zmiany wysokości wynagrodzenia przez stronę umowy powstanie w sytuacji gdy ceny produkcji budowlano-montażowej na dzień złożenia wniosku opublikowane w komunikacie, o którym mowa w pkt 4 w stosunku do poprzedniego kwartału uległy zmianie (wzrost/zmniejszenie) o min. 2,5%, </w:t>
      </w:r>
    </w:p>
    <w:p w14:paraId="41956A15" w14:textId="2FA97308" w:rsidR="00395362" w:rsidRPr="00A35584" w:rsidRDefault="00395362" w:rsidP="00A35584">
      <w:pPr>
        <w:pStyle w:val="Default"/>
        <w:numPr>
          <w:ilvl w:val="1"/>
          <w:numId w:val="5"/>
        </w:numPr>
        <w:spacing w:line="276" w:lineRule="auto"/>
        <w:ind w:left="709" w:hanging="425"/>
        <w:jc w:val="both"/>
        <w:rPr>
          <w:color w:val="auto"/>
          <w:sz w:val="22"/>
          <w:szCs w:val="22"/>
        </w:rPr>
      </w:pPr>
      <w:r w:rsidRPr="00A35584">
        <w:rPr>
          <w:color w:val="auto"/>
          <w:sz w:val="22"/>
          <w:szCs w:val="22"/>
        </w:rPr>
        <w:t xml:space="preserve">w przypadku gdy umowa została zawarta po upływie 180 dni od dnia upływu terminu składania ofert: </w:t>
      </w:r>
    </w:p>
    <w:p w14:paraId="1C136E83" w14:textId="12AEBC13" w:rsidR="00395362" w:rsidRPr="00A35584" w:rsidRDefault="00395362" w:rsidP="00A35584">
      <w:pPr>
        <w:pStyle w:val="Default"/>
        <w:numPr>
          <w:ilvl w:val="2"/>
          <w:numId w:val="5"/>
        </w:numPr>
        <w:spacing w:line="276" w:lineRule="auto"/>
        <w:ind w:left="1134" w:hanging="357"/>
        <w:jc w:val="both"/>
        <w:rPr>
          <w:color w:val="auto"/>
          <w:sz w:val="22"/>
          <w:szCs w:val="22"/>
        </w:rPr>
      </w:pPr>
      <w:r w:rsidRPr="00A35584">
        <w:rPr>
          <w:color w:val="auto"/>
          <w:sz w:val="22"/>
          <w:szCs w:val="22"/>
        </w:rPr>
        <w:t xml:space="preserve">uprawnienie do zmiany wysokości wynagrodzenia przez stronę umowy powstanie w sytuacji, gdy ceny produkcji budowlano-montażowej opublikowane w komunikacie, o którym mowa w pkt 4, dla kolejnego kwartału następującego po kwartale w którym nastąpiło otwarcie ofert w stosunku do tego kwartału, w którym nastąpiło otwarcie ofert uległy zmianie (wzrost/zmniejszenie) o min. 2,5%; </w:t>
      </w:r>
    </w:p>
    <w:p w14:paraId="03637151" w14:textId="10804506" w:rsidR="00395362" w:rsidRPr="00A35584" w:rsidRDefault="00395362" w:rsidP="00A35584">
      <w:pPr>
        <w:pStyle w:val="Default"/>
        <w:numPr>
          <w:ilvl w:val="2"/>
          <w:numId w:val="5"/>
        </w:numPr>
        <w:spacing w:line="276" w:lineRule="auto"/>
        <w:ind w:left="1134"/>
        <w:jc w:val="both"/>
        <w:rPr>
          <w:color w:val="auto"/>
          <w:sz w:val="22"/>
          <w:szCs w:val="22"/>
        </w:rPr>
      </w:pPr>
      <w:r w:rsidRPr="00A35584">
        <w:rPr>
          <w:color w:val="auto"/>
          <w:sz w:val="22"/>
          <w:szCs w:val="22"/>
        </w:rPr>
        <w:t xml:space="preserve">do złożenia pierwszego wniosku nie jest konieczny upływ czasu, o którym mowa w pkt 2, wobec czego wniosek o waloryzację wynagrodzenia można złożyć niezwłocznie po zawarciu umowy; </w:t>
      </w:r>
    </w:p>
    <w:p w14:paraId="18FED1C6" w14:textId="23E4BBF7" w:rsidR="00395362" w:rsidRPr="00A35584" w:rsidRDefault="00395362" w:rsidP="00A35584">
      <w:pPr>
        <w:pStyle w:val="Default"/>
        <w:numPr>
          <w:ilvl w:val="2"/>
          <w:numId w:val="5"/>
        </w:numPr>
        <w:spacing w:line="276" w:lineRule="auto"/>
        <w:ind w:left="1134"/>
        <w:jc w:val="both"/>
        <w:rPr>
          <w:color w:val="auto"/>
          <w:sz w:val="22"/>
          <w:szCs w:val="22"/>
        </w:rPr>
      </w:pPr>
      <w:r w:rsidRPr="00A35584">
        <w:rPr>
          <w:color w:val="auto"/>
          <w:sz w:val="22"/>
          <w:szCs w:val="22"/>
        </w:rPr>
        <w:t xml:space="preserve">w przypadku gdy pierwszy wniosek o zmianę wynagrodzenia wpłynie po terminie określonym w pkt 2 wówczas uprawnienie do zmiany wynagrodzenia będzie weryfikowane w oparciu w zasady określone w pkt 5, </w:t>
      </w:r>
    </w:p>
    <w:p w14:paraId="02C245E4" w14:textId="190BC2D5" w:rsidR="00395362" w:rsidRPr="00A35584" w:rsidRDefault="00395362" w:rsidP="00A35584">
      <w:pPr>
        <w:pStyle w:val="Default"/>
        <w:numPr>
          <w:ilvl w:val="1"/>
          <w:numId w:val="5"/>
        </w:numPr>
        <w:spacing w:line="276" w:lineRule="auto"/>
        <w:ind w:left="709" w:hanging="357"/>
        <w:jc w:val="both"/>
        <w:rPr>
          <w:color w:val="auto"/>
          <w:sz w:val="22"/>
          <w:szCs w:val="22"/>
        </w:rPr>
      </w:pPr>
      <w:r w:rsidRPr="00A35584">
        <w:rPr>
          <w:color w:val="auto"/>
          <w:sz w:val="22"/>
          <w:szCs w:val="22"/>
        </w:rPr>
        <w:t xml:space="preserve">wynagrodzenie zmieniane będzie odpowiednio o wzrost/spadek procentowy cen robót budowlano-montażowych, o którym mowa w pkt 4, ostatnio opublikowany na dzień złożenia wniosku, także w przypadku gdy do zawarcia umowy doszło po upływie 180 dni od dnia upływu terminu składania ofert, </w:t>
      </w:r>
    </w:p>
    <w:p w14:paraId="1F57E1FB" w14:textId="77777777" w:rsidR="00105C6E" w:rsidRDefault="00D210E9" w:rsidP="00A35584">
      <w:pPr>
        <w:pStyle w:val="Default"/>
        <w:numPr>
          <w:ilvl w:val="1"/>
          <w:numId w:val="5"/>
        </w:numPr>
        <w:spacing w:line="276" w:lineRule="auto"/>
        <w:ind w:left="709" w:hanging="357"/>
        <w:jc w:val="both"/>
        <w:rPr>
          <w:color w:val="auto"/>
          <w:sz w:val="22"/>
          <w:szCs w:val="22"/>
        </w:rPr>
      </w:pPr>
      <w:r w:rsidRPr="00A35584">
        <w:rPr>
          <w:color w:val="auto"/>
          <w:sz w:val="22"/>
          <w:szCs w:val="22"/>
        </w:rPr>
        <w:t>waloryzacji podlegać będzie tylko niezrealizowana część zamówienia</w:t>
      </w:r>
      <w:r w:rsidR="00105C6E">
        <w:rPr>
          <w:color w:val="auto"/>
          <w:sz w:val="22"/>
          <w:szCs w:val="22"/>
        </w:rPr>
        <w:t>:</w:t>
      </w:r>
    </w:p>
    <w:p w14:paraId="00CEC60D" w14:textId="77777777" w:rsidR="00105C6E" w:rsidRDefault="00105C6E" w:rsidP="00AB1180">
      <w:pPr>
        <w:pStyle w:val="Default"/>
        <w:numPr>
          <w:ilvl w:val="0"/>
          <w:numId w:val="11"/>
        </w:numPr>
        <w:spacing w:line="276" w:lineRule="auto"/>
        <w:ind w:left="1134" w:hanging="357"/>
        <w:jc w:val="both"/>
        <w:rPr>
          <w:sz w:val="22"/>
          <w:szCs w:val="22"/>
        </w:rPr>
      </w:pPr>
      <w:r>
        <w:rPr>
          <w:sz w:val="22"/>
          <w:szCs w:val="22"/>
        </w:rPr>
        <w:t xml:space="preserve">w przypadku gdy wniosek o zmianę wysokości wynagrodzenia z tytułu zmian cen materiałów lub kosztów związanych z realizacją zamówienia złożony będzie w okresie wykonywania dokumentacji projektowo-kosztorysowej wówczas waloryzacji podlegać będzie zarówno wynagrodzenie związane z wykonaniem dokumentacji projektowo-kosztorysowej jak i wynagrodzenie związane z wykonywaniem robót budowlanych, z tym zastrzeżeniem, iż co do zasady rozpoczęcie realizacji robót budowlanych następuje po zakończeniu realizacji dokumentacji projektowo-kosztorysowej zatem w przypadku gdy strona wystąpi o zmianę wysokości wynagrodzenia w czasie realizacji dokumentacji projektowo-kosztorysowej waloryzacji podlegać będzie pełen pozostały do wykonania zakres robót budowlanych, natomiast ustalenie jaka część dokumentacji projektowo-kosztorysowej pozostaje niezrealizowana odbywać się będzie następująco: </w:t>
      </w:r>
    </w:p>
    <w:p w14:paraId="17909793" w14:textId="77777777" w:rsidR="00105C6E" w:rsidRDefault="00105C6E" w:rsidP="00AB1180">
      <w:pPr>
        <w:pStyle w:val="Default"/>
        <w:numPr>
          <w:ilvl w:val="0"/>
          <w:numId w:val="12"/>
        </w:numPr>
        <w:spacing w:line="276" w:lineRule="auto"/>
        <w:ind w:left="1560" w:hanging="357"/>
        <w:jc w:val="both"/>
        <w:rPr>
          <w:sz w:val="22"/>
          <w:szCs w:val="22"/>
        </w:rPr>
      </w:pPr>
      <w:r>
        <w:rPr>
          <w:sz w:val="22"/>
          <w:szCs w:val="22"/>
        </w:rPr>
        <w:t xml:space="preserve">wartość wynagrodzenia wykonawcy za wykonanie dokumentacji projektowo-kosztorysowej zostanie podzielona przez ilość dni określonych na jej wykonanie i w ten sposób zostanie ustalona wartość wynagrodzenia przysługującego wykonawcy za jeden dzień wykonywania dokumentacji projektowo-kosztorysowej, przy czym niepełny grosz zostanie zaokrąglony do pełnego grosza, </w:t>
      </w:r>
    </w:p>
    <w:p w14:paraId="21139462" w14:textId="77777777" w:rsidR="00105C6E" w:rsidRDefault="00105C6E" w:rsidP="00AB1180">
      <w:pPr>
        <w:pStyle w:val="Default"/>
        <w:numPr>
          <w:ilvl w:val="0"/>
          <w:numId w:val="12"/>
        </w:numPr>
        <w:spacing w:line="276" w:lineRule="auto"/>
        <w:ind w:left="1560" w:hanging="357"/>
        <w:jc w:val="both"/>
        <w:rPr>
          <w:sz w:val="22"/>
          <w:szCs w:val="22"/>
        </w:rPr>
      </w:pPr>
      <w:r>
        <w:rPr>
          <w:sz w:val="22"/>
          <w:szCs w:val="22"/>
        </w:rPr>
        <w:t xml:space="preserve">ustalona zostanie ilość dni liczona od daty zawarcia umowy lub od daty obowiązywania zmienionego wynagrodzenia (jeśli wynagrodzenie będzie waloryzowane kolejny raz) do upływu trzydziestu dni od dnia, w którym złożono wniosek o zmianę wynagrodzenia, </w:t>
      </w:r>
    </w:p>
    <w:p w14:paraId="07303880" w14:textId="77777777" w:rsidR="00105C6E" w:rsidRDefault="00105C6E" w:rsidP="00AB1180">
      <w:pPr>
        <w:pStyle w:val="Default"/>
        <w:numPr>
          <w:ilvl w:val="0"/>
          <w:numId w:val="12"/>
        </w:numPr>
        <w:spacing w:line="276" w:lineRule="auto"/>
        <w:ind w:left="1560" w:hanging="357"/>
        <w:jc w:val="both"/>
        <w:rPr>
          <w:sz w:val="22"/>
          <w:szCs w:val="22"/>
        </w:rPr>
      </w:pPr>
      <w:r>
        <w:rPr>
          <w:sz w:val="22"/>
          <w:szCs w:val="22"/>
        </w:rPr>
        <w:t xml:space="preserve">wartość wynagrodzenia za okres, o którym mowa w </w:t>
      </w:r>
      <w:proofErr w:type="spellStart"/>
      <w:r>
        <w:rPr>
          <w:sz w:val="22"/>
          <w:szCs w:val="22"/>
        </w:rPr>
        <w:t>tiret</w:t>
      </w:r>
      <w:proofErr w:type="spellEnd"/>
      <w:r>
        <w:rPr>
          <w:sz w:val="22"/>
          <w:szCs w:val="22"/>
        </w:rPr>
        <w:t xml:space="preserve"> drugie pozostaje bez zmian, </w:t>
      </w:r>
    </w:p>
    <w:p w14:paraId="5FF44DDE" w14:textId="77777777" w:rsidR="00105C6E" w:rsidRDefault="00105C6E" w:rsidP="00AB1180">
      <w:pPr>
        <w:pStyle w:val="Default"/>
        <w:numPr>
          <w:ilvl w:val="0"/>
          <w:numId w:val="12"/>
        </w:numPr>
        <w:spacing w:line="276" w:lineRule="auto"/>
        <w:ind w:left="1560" w:hanging="357"/>
        <w:jc w:val="both"/>
        <w:rPr>
          <w:sz w:val="22"/>
          <w:szCs w:val="22"/>
        </w:rPr>
      </w:pPr>
      <w:r>
        <w:rPr>
          <w:sz w:val="22"/>
          <w:szCs w:val="22"/>
        </w:rPr>
        <w:lastRenderedPageBreak/>
        <w:t xml:space="preserve">wartość wynagrodzenia za jeden dzień wykonywania dokumentacji projektowo-kosztorysowej zostanie zwaloryzowana w oparciu o wskaźnik, o którym mowa w pkt 4, a następnie pomnożona przez ilość dni pozostałych do końca okresu wykonywania dokumentacji projektowo-kosztorysowej, z pominięciem okresu, o którym mowa w </w:t>
      </w:r>
      <w:proofErr w:type="spellStart"/>
      <w:r>
        <w:rPr>
          <w:sz w:val="22"/>
          <w:szCs w:val="22"/>
        </w:rPr>
        <w:t>tiret</w:t>
      </w:r>
      <w:proofErr w:type="spellEnd"/>
      <w:r>
        <w:rPr>
          <w:sz w:val="22"/>
          <w:szCs w:val="22"/>
        </w:rPr>
        <w:t xml:space="preserve"> drugie, </w:t>
      </w:r>
    </w:p>
    <w:p w14:paraId="3A5C2B28" w14:textId="77777777" w:rsidR="00105C6E" w:rsidRDefault="00105C6E" w:rsidP="00AB1180">
      <w:pPr>
        <w:pStyle w:val="Default"/>
        <w:numPr>
          <w:ilvl w:val="0"/>
          <w:numId w:val="12"/>
        </w:numPr>
        <w:spacing w:line="276" w:lineRule="auto"/>
        <w:ind w:left="1560" w:hanging="357"/>
        <w:jc w:val="both"/>
        <w:rPr>
          <w:sz w:val="22"/>
          <w:szCs w:val="22"/>
        </w:rPr>
      </w:pPr>
      <w:r>
        <w:rPr>
          <w:sz w:val="22"/>
          <w:szCs w:val="22"/>
        </w:rPr>
        <w:t xml:space="preserve">w przypadku, gdy spełnione zostaną przesłanki kolejnej waloryzacji, wówczas na potrzeby waloryzacji zostanie przyjęta wartość ostatnio zwaloryzowanego jednego dnia wykonywania dokumentacji projektowo-kosztorysowej według zasad opisanych w </w:t>
      </w:r>
      <w:proofErr w:type="spellStart"/>
      <w:r>
        <w:rPr>
          <w:sz w:val="22"/>
          <w:szCs w:val="22"/>
        </w:rPr>
        <w:t>tiret</w:t>
      </w:r>
      <w:proofErr w:type="spellEnd"/>
      <w:r>
        <w:rPr>
          <w:sz w:val="22"/>
          <w:szCs w:val="22"/>
        </w:rPr>
        <w:t xml:space="preserve"> czwarte zamiast zasad określonych w </w:t>
      </w:r>
      <w:proofErr w:type="spellStart"/>
      <w:r>
        <w:rPr>
          <w:sz w:val="22"/>
          <w:szCs w:val="22"/>
        </w:rPr>
        <w:t>tiret</w:t>
      </w:r>
      <w:proofErr w:type="spellEnd"/>
      <w:r>
        <w:rPr>
          <w:sz w:val="22"/>
          <w:szCs w:val="22"/>
        </w:rPr>
        <w:t xml:space="preserve"> pierwsze, przy czym pozostałe przepisy niniejszego ustępu stosuje się odpowiednio, </w:t>
      </w:r>
    </w:p>
    <w:p w14:paraId="30000268" w14:textId="539747F8" w:rsidR="00D210E9" w:rsidRPr="00AB1180" w:rsidRDefault="00105C6E" w:rsidP="00634190">
      <w:pPr>
        <w:pStyle w:val="Default"/>
        <w:numPr>
          <w:ilvl w:val="0"/>
          <w:numId w:val="11"/>
        </w:numPr>
        <w:spacing w:line="276" w:lineRule="auto"/>
        <w:ind w:left="1134" w:hanging="283"/>
        <w:jc w:val="both"/>
        <w:rPr>
          <w:sz w:val="22"/>
          <w:szCs w:val="22"/>
        </w:rPr>
      </w:pPr>
      <w:r>
        <w:rPr>
          <w:sz w:val="22"/>
          <w:szCs w:val="22"/>
        </w:rPr>
        <w:t xml:space="preserve">w przypadku gdy wniosek o zmianę wysokości wynagrodzenia z tytułu zmian cen materiałów lub kosztów związanych z realizacją zamówienia złożony będzie w okresie wykonywania robót budowlanych niezrealizowaną częścią zamówienia będą pozostałe do </w:t>
      </w:r>
      <w:r w:rsidR="00D210E9" w:rsidRPr="00105C6E">
        <w:rPr>
          <w:color w:val="auto"/>
          <w:sz w:val="22"/>
          <w:szCs w:val="22"/>
        </w:rPr>
        <w:t xml:space="preserve">wykonania po ostatnim potwierdzonym przez </w:t>
      </w:r>
      <w:r w:rsidR="003E6304" w:rsidRPr="00105C6E">
        <w:rPr>
          <w:color w:val="auto"/>
          <w:sz w:val="22"/>
          <w:szCs w:val="22"/>
        </w:rPr>
        <w:t xml:space="preserve">Zamawiającego </w:t>
      </w:r>
      <w:r w:rsidR="00CE3EFC">
        <w:rPr>
          <w:color w:val="auto"/>
          <w:sz w:val="22"/>
          <w:szCs w:val="22"/>
        </w:rPr>
        <w:t>p</w:t>
      </w:r>
      <w:r w:rsidR="00D210E9" w:rsidRPr="00105C6E">
        <w:rPr>
          <w:color w:val="auto"/>
          <w:sz w:val="22"/>
          <w:szCs w:val="22"/>
        </w:rPr>
        <w:t>rotokole stanu i wartości robót budowlano-montażowych sporządzonym za okres obejmujący miesiąc, w którym złożono wniosek (np. wniosek Wykonawcy wpłynął w listopadzie - waloryzacji nie podlegają roboty wykonane od początku budowy do końca listopada),</w:t>
      </w:r>
    </w:p>
    <w:p w14:paraId="7EC81EB7" w14:textId="00E6EAF4" w:rsidR="00395362" w:rsidRPr="00E91C59" w:rsidRDefault="00395362" w:rsidP="00634190">
      <w:pPr>
        <w:pStyle w:val="Default"/>
        <w:numPr>
          <w:ilvl w:val="0"/>
          <w:numId w:val="8"/>
        </w:numPr>
        <w:spacing w:line="276" w:lineRule="auto"/>
        <w:ind w:left="426" w:hanging="426"/>
        <w:jc w:val="both"/>
        <w:rPr>
          <w:color w:val="auto"/>
          <w:sz w:val="22"/>
          <w:szCs w:val="22"/>
        </w:rPr>
      </w:pPr>
      <w:r w:rsidRPr="00E91C59">
        <w:rPr>
          <w:color w:val="auto"/>
          <w:sz w:val="22"/>
          <w:szCs w:val="22"/>
        </w:rPr>
        <w:t xml:space="preserve">roboty, o których mowa w § </w:t>
      </w:r>
      <w:r w:rsidR="00362E15" w:rsidRPr="00E91C59">
        <w:rPr>
          <w:color w:val="auto"/>
          <w:sz w:val="22"/>
          <w:szCs w:val="22"/>
        </w:rPr>
        <w:t>1</w:t>
      </w:r>
      <w:r w:rsidR="00392C93" w:rsidRPr="00E91C59">
        <w:rPr>
          <w:color w:val="auto"/>
          <w:sz w:val="22"/>
          <w:szCs w:val="22"/>
        </w:rPr>
        <w:t>5</w:t>
      </w:r>
      <w:r w:rsidRPr="00E91C59">
        <w:rPr>
          <w:color w:val="auto"/>
          <w:sz w:val="22"/>
          <w:szCs w:val="22"/>
        </w:rPr>
        <w:t xml:space="preserve"> ust. </w:t>
      </w:r>
      <w:r w:rsidR="003F5391" w:rsidRPr="00E91C59">
        <w:rPr>
          <w:color w:val="auto"/>
          <w:sz w:val="22"/>
          <w:szCs w:val="22"/>
        </w:rPr>
        <w:t>3</w:t>
      </w:r>
      <w:r w:rsidRPr="00E91C59">
        <w:rPr>
          <w:color w:val="auto"/>
          <w:sz w:val="22"/>
          <w:szCs w:val="22"/>
        </w:rPr>
        <w:t xml:space="preserve"> pkt 3 </w:t>
      </w:r>
      <w:r w:rsidR="000F23D1">
        <w:rPr>
          <w:color w:val="auto"/>
          <w:sz w:val="22"/>
          <w:szCs w:val="22"/>
        </w:rPr>
        <w:t>U</w:t>
      </w:r>
      <w:r w:rsidRPr="00E91C59">
        <w:rPr>
          <w:color w:val="auto"/>
          <w:sz w:val="22"/>
          <w:szCs w:val="22"/>
        </w:rPr>
        <w:t xml:space="preserve">mowy, wyliczone według zasad określonych w § </w:t>
      </w:r>
      <w:r w:rsidR="00362E15" w:rsidRPr="00E91C59">
        <w:rPr>
          <w:color w:val="auto"/>
          <w:sz w:val="22"/>
          <w:szCs w:val="22"/>
        </w:rPr>
        <w:t>1</w:t>
      </w:r>
      <w:r w:rsidR="00392C93" w:rsidRPr="00E91C59">
        <w:rPr>
          <w:color w:val="auto"/>
          <w:sz w:val="22"/>
          <w:szCs w:val="22"/>
        </w:rPr>
        <w:t>5</w:t>
      </w:r>
      <w:r w:rsidRPr="00E91C59">
        <w:rPr>
          <w:color w:val="auto"/>
          <w:sz w:val="22"/>
          <w:szCs w:val="22"/>
        </w:rPr>
        <w:t xml:space="preserve"> ust. </w:t>
      </w:r>
      <w:r w:rsidR="003F5391" w:rsidRPr="00E91C59">
        <w:rPr>
          <w:color w:val="auto"/>
          <w:sz w:val="22"/>
          <w:szCs w:val="22"/>
        </w:rPr>
        <w:t>6</w:t>
      </w:r>
      <w:r w:rsidRPr="00E91C59">
        <w:rPr>
          <w:color w:val="auto"/>
          <w:sz w:val="22"/>
          <w:szCs w:val="22"/>
        </w:rPr>
        <w:t xml:space="preserve"> </w:t>
      </w:r>
      <w:r w:rsidR="003762B6" w:rsidRPr="00E91C59">
        <w:rPr>
          <w:color w:val="auto"/>
          <w:sz w:val="22"/>
          <w:szCs w:val="22"/>
        </w:rPr>
        <w:t>U</w:t>
      </w:r>
      <w:r w:rsidRPr="00E91C59">
        <w:rPr>
          <w:color w:val="auto"/>
          <w:sz w:val="22"/>
          <w:szCs w:val="22"/>
        </w:rPr>
        <w:t xml:space="preserve">mowy, podlegać będą waloryzacji w sposób określony w niniejszym ustępie, tylko w przypadku gdy na dzień złożenia wniosku, o którym mowa w pkt 1 były wykonywane przez okres przekraczający 6 miesięcy, </w:t>
      </w:r>
    </w:p>
    <w:p w14:paraId="5E4F444C" w14:textId="55988B3A" w:rsidR="00395362" w:rsidRPr="00E91C59" w:rsidRDefault="00395362" w:rsidP="00634190">
      <w:pPr>
        <w:pStyle w:val="Default"/>
        <w:numPr>
          <w:ilvl w:val="0"/>
          <w:numId w:val="8"/>
        </w:numPr>
        <w:spacing w:line="276" w:lineRule="auto"/>
        <w:ind w:left="426" w:hanging="426"/>
        <w:jc w:val="both"/>
        <w:rPr>
          <w:color w:val="auto"/>
          <w:sz w:val="22"/>
          <w:szCs w:val="22"/>
        </w:rPr>
      </w:pPr>
      <w:r w:rsidRPr="00E91C59">
        <w:rPr>
          <w:color w:val="auto"/>
          <w:sz w:val="22"/>
          <w:szCs w:val="22"/>
        </w:rPr>
        <w:t xml:space="preserve">maksymalna wartość zmian wynagrodzenia, o których </w:t>
      </w:r>
      <w:r w:rsidR="00EC0D82" w:rsidRPr="00E91C59">
        <w:rPr>
          <w:color w:val="auto"/>
          <w:sz w:val="22"/>
          <w:szCs w:val="22"/>
        </w:rPr>
        <w:t xml:space="preserve">wyżej </w:t>
      </w:r>
      <w:r w:rsidRPr="00E91C59">
        <w:rPr>
          <w:color w:val="auto"/>
          <w:sz w:val="22"/>
          <w:szCs w:val="22"/>
        </w:rPr>
        <w:t>mowa, jaką dopuszcza Zamawiający ograniczona jest wielkością wzrostu/spadku cen robót budowlano-montażowych, o którym mowa w pkt 4 oraz wartością prac projektowych/robót budowlanych pozostałych do zrealizowania</w:t>
      </w:r>
      <w:r w:rsidR="00EC0D82" w:rsidRPr="00E91C59">
        <w:rPr>
          <w:color w:val="auto"/>
          <w:sz w:val="22"/>
          <w:szCs w:val="22"/>
        </w:rPr>
        <w:t>,</w:t>
      </w:r>
      <w:r w:rsidRPr="00E91C59">
        <w:rPr>
          <w:color w:val="auto"/>
          <w:sz w:val="22"/>
          <w:szCs w:val="22"/>
        </w:rPr>
        <w:t xml:space="preserve"> </w:t>
      </w:r>
    </w:p>
    <w:p w14:paraId="21FBEE27" w14:textId="6FB26125" w:rsidR="00395362" w:rsidRPr="00E91C59" w:rsidRDefault="00395362" w:rsidP="00634190">
      <w:pPr>
        <w:pStyle w:val="Default"/>
        <w:numPr>
          <w:ilvl w:val="0"/>
          <w:numId w:val="8"/>
        </w:numPr>
        <w:spacing w:line="276" w:lineRule="auto"/>
        <w:ind w:left="426" w:hanging="426"/>
        <w:jc w:val="both"/>
        <w:rPr>
          <w:color w:val="auto"/>
          <w:sz w:val="22"/>
          <w:szCs w:val="22"/>
        </w:rPr>
      </w:pPr>
      <w:r w:rsidRPr="00E91C59">
        <w:rPr>
          <w:color w:val="auto"/>
          <w:sz w:val="22"/>
          <w:szCs w:val="22"/>
        </w:rPr>
        <w:t xml:space="preserve">strony zobowiązują się zawrzeć aneks na okoliczność zmiany wysokości wynagrodzenia, </w:t>
      </w:r>
    </w:p>
    <w:p w14:paraId="58EC2023" w14:textId="2BF74BEC" w:rsidR="00395362" w:rsidRPr="00E91C59" w:rsidRDefault="00395362" w:rsidP="00634190">
      <w:pPr>
        <w:pStyle w:val="Default"/>
        <w:numPr>
          <w:ilvl w:val="0"/>
          <w:numId w:val="8"/>
        </w:numPr>
        <w:spacing w:line="276" w:lineRule="auto"/>
        <w:ind w:left="426" w:hanging="426"/>
        <w:jc w:val="both"/>
        <w:rPr>
          <w:color w:val="auto"/>
          <w:sz w:val="22"/>
          <w:szCs w:val="22"/>
        </w:rPr>
      </w:pPr>
      <w:r w:rsidRPr="00E91C59">
        <w:rPr>
          <w:color w:val="auto"/>
          <w:sz w:val="22"/>
          <w:szCs w:val="22"/>
        </w:rPr>
        <w:t>wynagrodzenie w zmienionej wysokości obowiązywać będzie od następnego miesiąca, w którym złożono wniosek o zmianę wynagrodzenia, spełniający warunki opisane w niniejszy</w:t>
      </w:r>
      <w:r w:rsidR="00EC0D82" w:rsidRPr="00E91C59">
        <w:rPr>
          <w:color w:val="auto"/>
          <w:sz w:val="22"/>
          <w:szCs w:val="22"/>
        </w:rPr>
        <w:t>ch</w:t>
      </w:r>
      <w:r w:rsidRPr="00E91C59">
        <w:rPr>
          <w:color w:val="auto"/>
          <w:sz w:val="22"/>
          <w:szCs w:val="22"/>
        </w:rPr>
        <w:t xml:space="preserve"> </w:t>
      </w:r>
      <w:r w:rsidR="00EC0D82" w:rsidRPr="00E91C59">
        <w:rPr>
          <w:color w:val="auto"/>
          <w:sz w:val="22"/>
          <w:szCs w:val="22"/>
        </w:rPr>
        <w:t>postanowieniach</w:t>
      </w:r>
      <w:r w:rsidRPr="00E91C59">
        <w:rPr>
          <w:color w:val="auto"/>
          <w:sz w:val="22"/>
          <w:szCs w:val="22"/>
        </w:rPr>
        <w:t xml:space="preserve">, </w:t>
      </w:r>
    </w:p>
    <w:p w14:paraId="7599D3FA" w14:textId="49286EC8" w:rsidR="00395362" w:rsidRPr="00E91C59" w:rsidRDefault="00395362" w:rsidP="00634190">
      <w:pPr>
        <w:pStyle w:val="Default"/>
        <w:numPr>
          <w:ilvl w:val="0"/>
          <w:numId w:val="8"/>
        </w:numPr>
        <w:spacing w:line="276" w:lineRule="auto"/>
        <w:ind w:left="426" w:hanging="426"/>
        <w:jc w:val="both"/>
        <w:rPr>
          <w:color w:val="auto"/>
          <w:sz w:val="22"/>
          <w:szCs w:val="22"/>
        </w:rPr>
      </w:pPr>
      <w:r w:rsidRPr="00E91C59">
        <w:rPr>
          <w:color w:val="auto"/>
          <w:sz w:val="22"/>
          <w:szCs w:val="22"/>
        </w:rPr>
        <w:t>Wykonawca, którego wynagrodzenie zostało zmienione zgodnie z niniejszym</w:t>
      </w:r>
      <w:r w:rsidR="006E39B4" w:rsidRPr="00E91C59">
        <w:rPr>
          <w:color w:val="auto"/>
          <w:sz w:val="22"/>
          <w:szCs w:val="22"/>
        </w:rPr>
        <w:t>i</w:t>
      </w:r>
      <w:r w:rsidRPr="00E91C59">
        <w:rPr>
          <w:color w:val="auto"/>
          <w:sz w:val="22"/>
          <w:szCs w:val="22"/>
        </w:rPr>
        <w:t xml:space="preserve"> </w:t>
      </w:r>
      <w:r w:rsidR="006E39B4" w:rsidRPr="00E91C59">
        <w:rPr>
          <w:color w:val="auto"/>
          <w:sz w:val="22"/>
          <w:szCs w:val="22"/>
        </w:rPr>
        <w:t>postanowieniami</w:t>
      </w:r>
      <w:r w:rsidRPr="00E91C59">
        <w:rPr>
          <w:color w:val="auto"/>
          <w:sz w:val="22"/>
          <w:szCs w:val="22"/>
        </w:rPr>
        <w:t xml:space="preserve">,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296601ED" w14:textId="52CF902B" w:rsidR="00395362" w:rsidRPr="00E91C59" w:rsidRDefault="00395362" w:rsidP="00634190">
      <w:pPr>
        <w:pStyle w:val="Default"/>
        <w:numPr>
          <w:ilvl w:val="2"/>
          <w:numId w:val="5"/>
        </w:numPr>
        <w:spacing w:line="276" w:lineRule="auto"/>
        <w:ind w:left="851" w:hanging="426"/>
        <w:jc w:val="both"/>
        <w:rPr>
          <w:color w:val="auto"/>
          <w:sz w:val="22"/>
          <w:szCs w:val="22"/>
        </w:rPr>
      </w:pPr>
      <w:r w:rsidRPr="00E91C59">
        <w:rPr>
          <w:color w:val="auto"/>
          <w:sz w:val="22"/>
          <w:szCs w:val="22"/>
        </w:rPr>
        <w:t xml:space="preserve">przedmiotem umowy są usługi, dostawy lub roboty budowlane, </w:t>
      </w:r>
    </w:p>
    <w:p w14:paraId="4964AE59" w14:textId="7FDA91CA" w:rsidR="00395362" w:rsidRPr="00E91C59" w:rsidRDefault="00395362" w:rsidP="00634190">
      <w:pPr>
        <w:pStyle w:val="Default"/>
        <w:numPr>
          <w:ilvl w:val="2"/>
          <w:numId w:val="5"/>
        </w:numPr>
        <w:spacing w:line="276" w:lineRule="auto"/>
        <w:ind w:left="851" w:hanging="426"/>
        <w:jc w:val="both"/>
        <w:rPr>
          <w:color w:val="auto"/>
          <w:sz w:val="22"/>
          <w:szCs w:val="22"/>
        </w:rPr>
      </w:pPr>
      <w:r w:rsidRPr="00E91C59">
        <w:rPr>
          <w:color w:val="auto"/>
          <w:sz w:val="22"/>
          <w:szCs w:val="22"/>
        </w:rPr>
        <w:t xml:space="preserve">okres obowiązywania umowy przekracza 6 miesięcy, </w:t>
      </w:r>
    </w:p>
    <w:p w14:paraId="36817096" w14:textId="6F2D18B6" w:rsidR="00395362" w:rsidRPr="00E91C59" w:rsidRDefault="00395362" w:rsidP="00634190">
      <w:pPr>
        <w:pStyle w:val="Default"/>
        <w:numPr>
          <w:ilvl w:val="0"/>
          <w:numId w:val="8"/>
        </w:numPr>
        <w:spacing w:line="276" w:lineRule="auto"/>
        <w:ind w:left="425" w:hanging="426"/>
        <w:jc w:val="both"/>
        <w:rPr>
          <w:color w:val="auto"/>
          <w:sz w:val="22"/>
          <w:szCs w:val="22"/>
        </w:rPr>
      </w:pPr>
      <w:r w:rsidRPr="00E91C59">
        <w:rPr>
          <w:color w:val="auto"/>
          <w:sz w:val="22"/>
          <w:szCs w:val="22"/>
        </w:rPr>
        <w:t xml:space="preserve">niezrealizowana przez podwykonawcę część zamówienia podlega waloryzacji (wzrost/spadek wynagrodzenia) o ten sam % zmian jaki zastosowano przy waloryzacji wynagrodzenia Wykonawcy, </w:t>
      </w:r>
    </w:p>
    <w:p w14:paraId="1EC905AF" w14:textId="2F2EC487" w:rsidR="00395362" w:rsidRPr="00A35584" w:rsidRDefault="00395362" w:rsidP="00634190">
      <w:pPr>
        <w:pStyle w:val="Default"/>
        <w:numPr>
          <w:ilvl w:val="0"/>
          <w:numId w:val="8"/>
        </w:numPr>
        <w:spacing w:line="276" w:lineRule="auto"/>
        <w:ind w:left="425" w:hanging="426"/>
        <w:jc w:val="both"/>
        <w:rPr>
          <w:color w:val="auto"/>
          <w:sz w:val="22"/>
          <w:szCs w:val="22"/>
        </w:rPr>
      </w:pPr>
      <w:r w:rsidRPr="00E91C59">
        <w:rPr>
          <w:color w:val="auto"/>
          <w:sz w:val="22"/>
          <w:szCs w:val="22"/>
        </w:rPr>
        <w:t xml:space="preserve">Wykonawca w terminie 14 dni od dnia zawarcia aneksu zmieniającego jego wynagrodzenie, zobowiązany jest przedłożyć Zamawiającemu oświadczenie wskazujące listę podwykonawców z którymi zobowiązany jest zawrzeć aneks do umowy, o którym mowa w pkt 14 oraz przedłożyć Zamawiającemu projekty oraz kopie zawartych aneksów z podwykonawcami – zgodnie z procedurą opisaną w </w:t>
      </w:r>
      <w:r w:rsidR="00362E15" w:rsidRPr="00E91C59">
        <w:rPr>
          <w:color w:val="auto"/>
          <w:sz w:val="22"/>
          <w:szCs w:val="22"/>
        </w:rPr>
        <w:t xml:space="preserve">załączniku </w:t>
      </w:r>
      <w:r w:rsidR="00392C93" w:rsidRPr="00E91C59">
        <w:rPr>
          <w:color w:val="auto"/>
          <w:sz w:val="22"/>
          <w:szCs w:val="22"/>
        </w:rPr>
        <w:t xml:space="preserve">nr </w:t>
      </w:r>
      <w:r w:rsidR="00A44312" w:rsidRPr="00E91C59">
        <w:rPr>
          <w:color w:val="auto"/>
          <w:sz w:val="22"/>
          <w:szCs w:val="22"/>
        </w:rPr>
        <w:t>13</w:t>
      </w:r>
      <w:r w:rsidR="00362E15" w:rsidRPr="00E91C59">
        <w:rPr>
          <w:color w:val="auto"/>
          <w:sz w:val="22"/>
          <w:szCs w:val="22"/>
        </w:rPr>
        <w:t xml:space="preserve"> do </w:t>
      </w:r>
      <w:r w:rsidR="00A44312" w:rsidRPr="00E91C59">
        <w:rPr>
          <w:color w:val="auto"/>
          <w:sz w:val="22"/>
          <w:szCs w:val="22"/>
        </w:rPr>
        <w:t>U</w:t>
      </w:r>
      <w:r w:rsidR="00362E15" w:rsidRPr="00E91C59">
        <w:rPr>
          <w:color w:val="auto"/>
          <w:sz w:val="22"/>
          <w:szCs w:val="22"/>
        </w:rPr>
        <w:t xml:space="preserve">mowy </w:t>
      </w:r>
      <w:r w:rsidR="00CE1EAF" w:rsidRPr="00E91C59">
        <w:rPr>
          <w:color w:val="auto"/>
          <w:sz w:val="22"/>
          <w:szCs w:val="22"/>
        </w:rPr>
        <w:t>–</w:t>
      </w:r>
      <w:r w:rsidR="00362E15" w:rsidRPr="00E91C59">
        <w:rPr>
          <w:color w:val="auto"/>
          <w:sz w:val="22"/>
          <w:szCs w:val="22"/>
        </w:rPr>
        <w:t xml:space="preserve"> </w:t>
      </w:r>
      <w:r w:rsidR="000C276B" w:rsidRPr="00E91C59">
        <w:rPr>
          <w:color w:val="auto"/>
          <w:sz w:val="22"/>
          <w:szCs w:val="22"/>
        </w:rPr>
        <w:t>Podwykonawstwo</w:t>
      </w:r>
      <w:r w:rsidR="00CE1EAF" w:rsidRPr="00E91C59">
        <w:rPr>
          <w:color w:val="auto"/>
          <w:sz w:val="22"/>
          <w:szCs w:val="22"/>
        </w:rPr>
        <w:t xml:space="preserve"> robót budowlanych</w:t>
      </w:r>
      <w:r w:rsidRPr="00E91C59">
        <w:rPr>
          <w:color w:val="auto"/>
          <w:sz w:val="22"/>
          <w:szCs w:val="22"/>
        </w:rPr>
        <w:t>. W przypadku braku wykonywania umowy przy pomocy podwykonawców lub w przypadku gdy umowy podwykonawcze nie spełniają warunków opisanych w pkt 14 Wykonawca powinien złożyć oświadczeni</w:t>
      </w:r>
      <w:r w:rsidRPr="00A35584">
        <w:rPr>
          <w:color w:val="auto"/>
          <w:sz w:val="22"/>
          <w:szCs w:val="22"/>
        </w:rPr>
        <w:t xml:space="preserve">e na niniejszą okoliczność. </w:t>
      </w:r>
    </w:p>
    <w:p w14:paraId="406BD39C" w14:textId="77777777" w:rsidR="004F7015" w:rsidRPr="00A35584" w:rsidRDefault="004F7015" w:rsidP="00A35584">
      <w:pPr>
        <w:spacing w:after="0" w:line="276" w:lineRule="auto"/>
        <w:jc w:val="both"/>
        <w:rPr>
          <w:rFonts w:ascii="Arial" w:hAnsi="Arial" w:cs="Arial"/>
          <w:color w:val="388600"/>
        </w:rPr>
      </w:pPr>
    </w:p>
    <w:sectPr w:rsidR="004F7015" w:rsidRPr="00A35584" w:rsidSect="00E02523">
      <w:headerReference w:type="default" r:id="rId7"/>
      <w:pgSz w:w="11906" w:h="17340"/>
      <w:pgMar w:top="1276" w:right="1416" w:bottom="342" w:left="1183" w:header="708" w:footer="708" w:gutter="0"/>
      <w:cols w:space="708"/>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64F8E6F" w16cex:dateUtc="2024-12-06T15:15:00Z"/>
  <w16cex:commentExtensible w16cex:durableId="0E1978C2" w16cex:dateUtc="2024-11-13T09:22:00Z"/>
  <w16cex:commentExtensible w16cex:durableId="2AF2D7BC" w16cex:dateUtc="2024-11-28T10:51:00Z"/>
  <w16cex:commentExtensible w16cex:durableId="15F2C7C6" w16cex:dateUtc="2024-11-13T09: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4CF5D9D" w16cid:durableId="164F8E6F"/>
  <w16cid:commentId w16cid:paraId="70E50789" w16cid:durableId="0E1978C2"/>
  <w16cid:commentId w16cid:paraId="7FB4B842" w16cid:durableId="2AF2D7BC"/>
  <w16cid:commentId w16cid:paraId="1336FFC9" w16cid:durableId="15F2C7C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CD9FD2" w14:textId="77777777" w:rsidR="00E02523" w:rsidRDefault="00E02523" w:rsidP="00E02523">
      <w:pPr>
        <w:spacing w:after="0" w:line="240" w:lineRule="auto"/>
      </w:pPr>
      <w:r>
        <w:separator/>
      </w:r>
    </w:p>
  </w:endnote>
  <w:endnote w:type="continuationSeparator" w:id="0">
    <w:p w14:paraId="45627978" w14:textId="77777777" w:rsidR="00E02523" w:rsidRDefault="00E02523" w:rsidP="00E02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049555" w14:textId="77777777" w:rsidR="00E02523" w:rsidRDefault="00E02523" w:rsidP="00E02523">
      <w:pPr>
        <w:spacing w:after="0" w:line="240" w:lineRule="auto"/>
      </w:pPr>
      <w:r>
        <w:separator/>
      </w:r>
    </w:p>
  </w:footnote>
  <w:footnote w:type="continuationSeparator" w:id="0">
    <w:p w14:paraId="70F45D25" w14:textId="77777777" w:rsidR="00E02523" w:rsidRDefault="00E02523" w:rsidP="00E025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55D8E" w14:textId="303628AA" w:rsidR="00E02523" w:rsidRPr="002B5327" w:rsidRDefault="00E02523" w:rsidP="00E02523">
    <w:pPr>
      <w:pStyle w:val="Nagwek"/>
      <w:jc w:val="right"/>
      <w:rPr>
        <w:rFonts w:ascii="Arial" w:hAnsi="Arial" w:cs="Arial"/>
        <w:b/>
        <w:bCs/>
        <w:sz w:val="24"/>
        <w:szCs w:val="24"/>
      </w:rPr>
    </w:pPr>
    <w:r w:rsidRPr="002B5327">
      <w:rPr>
        <w:rFonts w:ascii="Arial" w:hAnsi="Arial" w:cs="Arial"/>
        <w:b/>
        <w:bCs/>
        <w:sz w:val="24"/>
        <w:szCs w:val="24"/>
      </w:rPr>
      <w:t xml:space="preserve">Załącznik nr </w:t>
    </w:r>
    <w:r w:rsidR="002B5327" w:rsidRPr="002B5327">
      <w:rPr>
        <w:rFonts w:ascii="Arial" w:hAnsi="Arial" w:cs="Arial"/>
        <w:b/>
        <w:bCs/>
        <w:sz w:val="24"/>
        <w:szCs w:val="24"/>
      </w:rPr>
      <w:t>5</w:t>
    </w:r>
    <w:r w:rsidRPr="002B5327">
      <w:rPr>
        <w:rFonts w:ascii="Arial" w:hAnsi="Arial" w:cs="Arial"/>
        <w:b/>
        <w:bCs/>
        <w:sz w:val="24"/>
        <w:szCs w:val="24"/>
      </w:rPr>
      <w:t xml:space="preserve"> do </w:t>
    </w:r>
    <w:r w:rsidR="002B5327" w:rsidRPr="002B5327">
      <w:rPr>
        <w:rFonts w:ascii="Arial" w:hAnsi="Arial" w:cs="Arial"/>
        <w:b/>
        <w:bCs/>
        <w:sz w:val="24"/>
        <w:szCs w:val="24"/>
      </w:rPr>
      <w:t>U</w:t>
    </w:r>
    <w:r w:rsidRPr="002B5327">
      <w:rPr>
        <w:rFonts w:ascii="Arial" w:hAnsi="Arial" w:cs="Arial"/>
        <w:b/>
        <w:bCs/>
        <w:sz w:val="24"/>
        <w:szCs w:val="24"/>
      </w:rPr>
      <w:t>mowy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A3993"/>
    <w:multiLevelType w:val="hybridMultilevel"/>
    <w:tmpl w:val="DF3228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006FFA"/>
    <w:multiLevelType w:val="hybridMultilevel"/>
    <w:tmpl w:val="392C9A5C"/>
    <w:lvl w:ilvl="0" w:tplc="7A24306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836C40"/>
    <w:multiLevelType w:val="hybridMultilevel"/>
    <w:tmpl w:val="2EC6D4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553270"/>
    <w:multiLevelType w:val="multilevel"/>
    <w:tmpl w:val="7CB24F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CFA7263"/>
    <w:multiLevelType w:val="hybridMultilevel"/>
    <w:tmpl w:val="3E8E45FC"/>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50662CA7"/>
    <w:multiLevelType w:val="hybridMultilevel"/>
    <w:tmpl w:val="56DA61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27159E9"/>
    <w:multiLevelType w:val="hybridMultilevel"/>
    <w:tmpl w:val="325E8FAE"/>
    <w:lvl w:ilvl="0" w:tplc="530432C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65B87DB3"/>
    <w:multiLevelType w:val="hybridMultilevel"/>
    <w:tmpl w:val="8B023E2C"/>
    <w:lvl w:ilvl="0" w:tplc="F08605E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04146EA"/>
    <w:multiLevelType w:val="multilevel"/>
    <w:tmpl w:val="AB266758"/>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rPr>
        <w:b w:val="0"/>
        <w:bCs w:val="0"/>
        <w:strike w:val="0"/>
        <w:color w:val="auto"/>
      </w:r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9" w15:restartNumberingAfterBreak="0">
    <w:nsid w:val="713C4D1F"/>
    <w:multiLevelType w:val="hybridMultilevel"/>
    <w:tmpl w:val="D68A17B0"/>
    <w:lvl w:ilvl="0" w:tplc="0415000F">
      <w:start w:val="1"/>
      <w:numFmt w:val="decimal"/>
      <w:lvlText w:val="%1."/>
      <w:lvlJc w:val="left"/>
      <w:pPr>
        <w:ind w:left="720" w:hanging="360"/>
      </w:pPr>
    </w:lvl>
    <w:lvl w:ilvl="1" w:tplc="A426E00E">
      <w:start w:val="1"/>
      <w:numFmt w:val="decimal"/>
      <w:lvlText w:val="%2)"/>
      <w:lvlJc w:val="left"/>
      <w:pPr>
        <w:ind w:left="1440" w:hanging="360"/>
      </w:pPr>
      <w:rPr>
        <w:rFonts w:hint="default"/>
      </w:rPr>
    </w:lvl>
    <w:lvl w:ilvl="2" w:tplc="FEE8B83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6BA0C36"/>
    <w:multiLevelType w:val="hybridMultilevel"/>
    <w:tmpl w:val="712E719E"/>
    <w:lvl w:ilvl="0" w:tplc="81F66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F78039A"/>
    <w:multiLevelType w:val="hybridMultilevel"/>
    <w:tmpl w:val="C0CE53F4"/>
    <w:lvl w:ilvl="0" w:tplc="530432C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0"/>
  </w:num>
  <w:num w:numId="2">
    <w:abstractNumId w:val="8"/>
  </w:num>
  <w:num w:numId="3">
    <w:abstractNumId w:val="6"/>
  </w:num>
  <w:num w:numId="4">
    <w:abstractNumId w:val="7"/>
  </w:num>
  <w:num w:numId="5">
    <w:abstractNumId w:val="9"/>
  </w:num>
  <w:num w:numId="6">
    <w:abstractNumId w:val="11"/>
  </w:num>
  <w:num w:numId="7">
    <w:abstractNumId w:val="0"/>
  </w:num>
  <w:num w:numId="8">
    <w:abstractNumId w:val="1"/>
  </w:num>
  <w:num w:numId="9">
    <w:abstractNumId w:val="2"/>
  </w:num>
  <w:num w:numId="10">
    <w:abstractNumId w:val="3"/>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523"/>
    <w:rsid w:val="00021B07"/>
    <w:rsid w:val="00090F95"/>
    <w:rsid w:val="000C276B"/>
    <w:rsid w:val="000F23D1"/>
    <w:rsid w:val="00105C6E"/>
    <w:rsid w:val="001A6622"/>
    <w:rsid w:val="001B0C07"/>
    <w:rsid w:val="001E3D51"/>
    <w:rsid w:val="00206880"/>
    <w:rsid w:val="002105D1"/>
    <w:rsid w:val="00211085"/>
    <w:rsid w:val="0023136E"/>
    <w:rsid w:val="00260744"/>
    <w:rsid w:val="00297265"/>
    <w:rsid w:val="002B1A51"/>
    <w:rsid w:val="002B5327"/>
    <w:rsid w:val="003023C7"/>
    <w:rsid w:val="00302B41"/>
    <w:rsid w:val="003262EE"/>
    <w:rsid w:val="00362E15"/>
    <w:rsid w:val="003762B6"/>
    <w:rsid w:val="00383596"/>
    <w:rsid w:val="00392C93"/>
    <w:rsid w:val="00395362"/>
    <w:rsid w:val="003C27DB"/>
    <w:rsid w:val="003E6304"/>
    <w:rsid w:val="003F5391"/>
    <w:rsid w:val="00403D24"/>
    <w:rsid w:val="004E2261"/>
    <w:rsid w:val="004F7015"/>
    <w:rsid w:val="00523952"/>
    <w:rsid w:val="005255C8"/>
    <w:rsid w:val="00530AFA"/>
    <w:rsid w:val="00556B0A"/>
    <w:rsid w:val="00585736"/>
    <w:rsid w:val="00585C8B"/>
    <w:rsid w:val="005D2507"/>
    <w:rsid w:val="005D4957"/>
    <w:rsid w:val="005F7096"/>
    <w:rsid w:val="005F71F5"/>
    <w:rsid w:val="00634190"/>
    <w:rsid w:val="00665381"/>
    <w:rsid w:val="006E39B4"/>
    <w:rsid w:val="00702B50"/>
    <w:rsid w:val="00717B1C"/>
    <w:rsid w:val="0077240E"/>
    <w:rsid w:val="00826D09"/>
    <w:rsid w:val="00853C30"/>
    <w:rsid w:val="00873F08"/>
    <w:rsid w:val="0088294B"/>
    <w:rsid w:val="008B73B1"/>
    <w:rsid w:val="0092366A"/>
    <w:rsid w:val="009F3172"/>
    <w:rsid w:val="009F7396"/>
    <w:rsid w:val="00A35584"/>
    <w:rsid w:val="00A424F8"/>
    <w:rsid w:val="00A44312"/>
    <w:rsid w:val="00A6167E"/>
    <w:rsid w:val="00A832B8"/>
    <w:rsid w:val="00AA40CA"/>
    <w:rsid w:val="00AB1180"/>
    <w:rsid w:val="00B0488D"/>
    <w:rsid w:val="00B37363"/>
    <w:rsid w:val="00B47035"/>
    <w:rsid w:val="00B53088"/>
    <w:rsid w:val="00B62EAE"/>
    <w:rsid w:val="00B67E46"/>
    <w:rsid w:val="00B924E3"/>
    <w:rsid w:val="00B95951"/>
    <w:rsid w:val="00BB3C56"/>
    <w:rsid w:val="00C17239"/>
    <w:rsid w:val="00C70652"/>
    <w:rsid w:val="00CC1EAA"/>
    <w:rsid w:val="00CC31CD"/>
    <w:rsid w:val="00CE1EAF"/>
    <w:rsid w:val="00CE3EFC"/>
    <w:rsid w:val="00CE46DC"/>
    <w:rsid w:val="00D1581D"/>
    <w:rsid w:val="00D210E9"/>
    <w:rsid w:val="00D64E16"/>
    <w:rsid w:val="00D80FCA"/>
    <w:rsid w:val="00D82B3E"/>
    <w:rsid w:val="00DA78BF"/>
    <w:rsid w:val="00DE10F3"/>
    <w:rsid w:val="00DE61B3"/>
    <w:rsid w:val="00E0146E"/>
    <w:rsid w:val="00E02523"/>
    <w:rsid w:val="00E13C85"/>
    <w:rsid w:val="00E8128F"/>
    <w:rsid w:val="00E91C59"/>
    <w:rsid w:val="00E93918"/>
    <w:rsid w:val="00EC0D82"/>
    <w:rsid w:val="00F91006"/>
    <w:rsid w:val="00FA42B2"/>
    <w:rsid w:val="00FB23D3"/>
    <w:rsid w:val="00FB260C"/>
    <w:rsid w:val="00FC7456"/>
    <w:rsid w:val="00FF73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F6DE9"/>
  <w15:chartTrackingRefBased/>
  <w15:docId w15:val="{3EB9905A-B5EE-451C-94FD-503A64FB6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F7015"/>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02523"/>
    <w:pPr>
      <w:autoSpaceDE w:val="0"/>
      <w:autoSpaceDN w:val="0"/>
      <w:adjustRightInd w:val="0"/>
      <w:spacing w:after="0" w:line="240" w:lineRule="auto"/>
    </w:pPr>
    <w:rPr>
      <w:rFonts w:ascii="Arial" w:hAnsi="Arial" w:cs="Arial"/>
      <w:color w:val="000000"/>
      <w:kern w:val="0"/>
      <w:sz w:val="24"/>
      <w:szCs w:val="24"/>
    </w:rPr>
  </w:style>
  <w:style w:type="paragraph" w:styleId="Nagwek">
    <w:name w:val="header"/>
    <w:basedOn w:val="Normalny"/>
    <w:link w:val="NagwekZnak"/>
    <w:uiPriority w:val="99"/>
    <w:unhideWhenUsed/>
    <w:rsid w:val="00E025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2523"/>
  </w:style>
  <w:style w:type="paragraph" w:styleId="Stopka">
    <w:name w:val="footer"/>
    <w:basedOn w:val="Normalny"/>
    <w:link w:val="StopkaZnak"/>
    <w:uiPriority w:val="99"/>
    <w:unhideWhenUsed/>
    <w:rsid w:val="00E025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2523"/>
  </w:style>
  <w:style w:type="character" w:styleId="Odwoaniedokomentarza">
    <w:name w:val="annotation reference"/>
    <w:basedOn w:val="Domylnaczcionkaakapitu"/>
    <w:uiPriority w:val="99"/>
    <w:semiHidden/>
    <w:unhideWhenUsed/>
    <w:rsid w:val="004F7015"/>
    <w:rPr>
      <w:sz w:val="16"/>
      <w:szCs w:val="16"/>
    </w:rPr>
  </w:style>
  <w:style w:type="paragraph" w:styleId="Tekstkomentarza">
    <w:name w:val="annotation text"/>
    <w:basedOn w:val="Normalny"/>
    <w:link w:val="TekstkomentarzaZnak"/>
    <w:uiPriority w:val="99"/>
    <w:unhideWhenUsed/>
    <w:rsid w:val="004F7015"/>
    <w:pPr>
      <w:spacing w:line="240" w:lineRule="auto"/>
    </w:pPr>
    <w:rPr>
      <w:sz w:val="20"/>
      <w:szCs w:val="20"/>
    </w:rPr>
  </w:style>
  <w:style w:type="character" w:customStyle="1" w:styleId="TekstkomentarzaZnak">
    <w:name w:val="Tekst komentarza Znak"/>
    <w:basedOn w:val="Domylnaczcionkaakapitu"/>
    <w:link w:val="Tekstkomentarza"/>
    <w:uiPriority w:val="99"/>
    <w:rsid w:val="004F7015"/>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4F7015"/>
    <w:rPr>
      <w:b/>
      <w:bCs/>
    </w:rPr>
  </w:style>
  <w:style w:type="character" w:customStyle="1" w:styleId="TematkomentarzaZnak">
    <w:name w:val="Temat komentarza Znak"/>
    <w:basedOn w:val="TekstkomentarzaZnak"/>
    <w:link w:val="Tematkomentarza"/>
    <w:uiPriority w:val="99"/>
    <w:semiHidden/>
    <w:rsid w:val="004F7015"/>
    <w:rPr>
      <w:b/>
      <w:bCs/>
      <w:kern w:val="0"/>
      <w:sz w:val="20"/>
      <w:szCs w:val="20"/>
      <w14:ligatures w14:val="none"/>
    </w:rPr>
  </w:style>
  <w:style w:type="character" w:customStyle="1" w:styleId="Teksttreci">
    <w:name w:val="Tekst treści_"/>
    <w:basedOn w:val="Domylnaczcionkaakapitu"/>
    <w:link w:val="Teksttreci0"/>
    <w:rsid w:val="00D210E9"/>
    <w:rPr>
      <w:rFonts w:ascii="Arial" w:eastAsia="Arial" w:hAnsi="Arial" w:cs="Arial"/>
      <w:shd w:val="clear" w:color="auto" w:fill="FFFFFF"/>
    </w:rPr>
  </w:style>
  <w:style w:type="paragraph" w:customStyle="1" w:styleId="Teksttreci0">
    <w:name w:val="Tekst treści"/>
    <w:basedOn w:val="Normalny"/>
    <w:link w:val="Teksttreci"/>
    <w:rsid w:val="00D210E9"/>
    <w:pPr>
      <w:widowControl w:val="0"/>
      <w:shd w:val="clear" w:color="auto" w:fill="FFFFFF"/>
      <w:spacing w:after="0" w:line="276" w:lineRule="auto"/>
    </w:pPr>
    <w:rPr>
      <w:rFonts w:ascii="Arial" w:eastAsia="Arial" w:hAnsi="Arial" w:cs="Arial"/>
      <w:kern w:val="2"/>
      <w14:ligatures w14:val="standardContextual"/>
    </w:rPr>
  </w:style>
  <w:style w:type="paragraph" w:styleId="Tekstdymka">
    <w:name w:val="Balloon Text"/>
    <w:basedOn w:val="Normalny"/>
    <w:link w:val="TekstdymkaZnak"/>
    <w:uiPriority w:val="99"/>
    <w:semiHidden/>
    <w:unhideWhenUsed/>
    <w:rsid w:val="00530A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30AFA"/>
    <w:rPr>
      <w:rFonts w:ascii="Segoe UI" w:hAnsi="Segoe UI" w:cs="Segoe UI"/>
      <w:kern w:val="0"/>
      <w:sz w:val="18"/>
      <w:szCs w:val="18"/>
      <w14:ligatures w14:val="none"/>
    </w:rPr>
  </w:style>
  <w:style w:type="paragraph" w:styleId="Poprawka">
    <w:name w:val="Revision"/>
    <w:hidden/>
    <w:uiPriority w:val="99"/>
    <w:semiHidden/>
    <w:rsid w:val="00665381"/>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4</Pages>
  <Words>1964</Words>
  <Characters>11789</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Szczechowska</dc:creator>
  <cp:keywords/>
  <dc:description/>
  <cp:lastModifiedBy>Sławomira Bryk</cp:lastModifiedBy>
  <cp:revision>27</cp:revision>
  <dcterms:created xsi:type="dcterms:W3CDTF">2024-11-25T13:03:00Z</dcterms:created>
  <dcterms:modified xsi:type="dcterms:W3CDTF">2024-12-16T06:19:00Z</dcterms:modified>
</cp:coreProperties>
</file>