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96" w:rsidRPr="00437896" w:rsidRDefault="00437896" w:rsidP="005A10A8">
      <w:pPr>
        <w:spacing w:before="120" w:after="120"/>
        <w:rPr>
          <w:rFonts w:cs="Times New Roman"/>
          <w:b/>
          <w:sz w:val="24"/>
          <w:szCs w:val="24"/>
        </w:rPr>
      </w:pPr>
    </w:p>
    <w:p w:rsidR="005A10A8" w:rsidRPr="00437896" w:rsidRDefault="00437896" w:rsidP="005A10A8">
      <w:pPr>
        <w:spacing w:before="120" w:after="120"/>
        <w:rPr>
          <w:rFonts w:eastAsia="Calibri" w:cs="Times New Roman"/>
          <w:b/>
          <w:kern w:val="2"/>
          <w:sz w:val="24"/>
          <w:szCs w:val="24"/>
        </w:rPr>
      </w:pPr>
      <w:r w:rsidRPr="00437896">
        <w:rPr>
          <w:rFonts w:eastAsia="Calibri" w:cs="Times New Roman"/>
          <w:b/>
          <w:kern w:val="2"/>
          <w:sz w:val="24"/>
          <w:szCs w:val="24"/>
        </w:rPr>
        <w:t>COZL/DZP/MJ/3413/Z-15/2023</w:t>
      </w:r>
      <w:r w:rsidR="005A10A8" w:rsidRPr="00437896">
        <w:rPr>
          <w:rFonts w:eastAsia="Calibri" w:cs="Times New Roman"/>
          <w:b/>
          <w:kern w:val="2"/>
          <w:sz w:val="24"/>
          <w:szCs w:val="24"/>
        </w:rPr>
        <w:t xml:space="preserve"> </w:t>
      </w:r>
      <w:r w:rsidRPr="00437896">
        <w:rPr>
          <w:rFonts w:cs="Times New Roman"/>
          <w:b/>
          <w:kern w:val="2"/>
          <w:sz w:val="24"/>
          <w:szCs w:val="24"/>
        </w:rPr>
        <w:t xml:space="preserve">Dostęp do </w:t>
      </w:r>
      <w:proofErr w:type="spellStart"/>
      <w:r w:rsidRPr="00437896">
        <w:rPr>
          <w:rFonts w:cs="Times New Roman"/>
          <w:b/>
          <w:kern w:val="2"/>
          <w:sz w:val="24"/>
          <w:szCs w:val="24"/>
        </w:rPr>
        <w:t>internetu</w:t>
      </w:r>
      <w:proofErr w:type="spellEnd"/>
      <w:r w:rsidRPr="00437896">
        <w:rPr>
          <w:rFonts w:cs="Times New Roman"/>
          <w:b/>
          <w:kern w:val="2"/>
          <w:sz w:val="24"/>
          <w:szCs w:val="24"/>
        </w:rPr>
        <w:t xml:space="preserve"> – łącze zapasowe</w:t>
      </w:r>
    </w:p>
    <w:p w:rsidR="00437896" w:rsidRPr="00437896" w:rsidRDefault="00437896" w:rsidP="00437896">
      <w:pPr>
        <w:rPr>
          <w:rFonts w:cs="Times New Roman"/>
          <w:b/>
          <w:kern w:val="2"/>
          <w:sz w:val="24"/>
          <w:szCs w:val="24"/>
        </w:rPr>
      </w:pPr>
      <w:r w:rsidRPr="00437896">
        <w:rPr>
          <w:rFonts w:cs="Times New Roman"/>
          <w:b/>
          <w:color w:val="000000"/>
          <w:kern w:val="2"/>
          <w:sz w:val="24"/>
          <w:szCs w:val="24"/>
        </w:rPr>
        <w:t>Szczegółowy opis przedmiotu zamówienia</w:t>
      </w:r>
      <w:r w:rsidRPr="00437896">
        <w:rPr>
          <w:rFonts w:cs="Times New Roman"/>
          <w:kern w:val="2"/>
          <w:sz w:val="24"/>
          <w:szCs w:val="24"/>
        </w:rPr>
        <w:t xml:space="preserve"> </w:t>
      </w:r>
      <w:r w:rsidRPr="00437896">
        <w:rPr>
          <w:rFonts w:cs="Times New Roman"/>
          <w:b/>
          <w:kern w:val="2"/>
          <w:sz w:val="24"/>
          <w:szCs w:val="24"/>
        </w:rPr>
        <w:t xml:space="preserve">– </w:t>
      </w:r>
      <w:r w:rsidRPr="00437896">
        <w:rPr>
          <w:rFonts w:eastAsia="Calibri" w:cs="Times New Roman"/>
          <w:b/>
          <w:kern w:val="2"/>
          <w:sz w:val="24"/>
          <w:szCs w:val="24"/>
        </w:rPr>
        <w:t>Załącznik nr 3</w:t>
      </w:r>
    </w:p>
    <w:p w:rsidR="005A10A8" w:rsidRPr="00437896" w:rsidRDefault="005A10A8" w:rsidP="005A10A8">
      <w:pPr>
        <w:spacing w:before="120" w:after="120"/>
        <w:rPr>
          <w:rFonts w:cs="Times New Roman"/>
          <w:b/>
          <w:sz w:val="24"/>
          <w:szCs w:val="24"/>
        </w:rPr>
      </w:pPr>
    </w:p>
    <w:p w:rsidR="00437896" w:rsidRPr="00437896" w:rsidRDefault="00437896" w:rsidP="00437896">
      <w:pPr>
        <w:pStyle w:val="Standard"/>
        <w:numPr>
          <w:ilvl w:val="0"/>
          <w:numId w:val="3"/>
        </w:numPr>
        <w:autoSpaceDE/>
        <w:autoSpaceDN w:val="0"/>
        <w:spacing w:line="360" w:lineRule="auto"/>
        <w:ind w:left="714" w:hanging="357"/>
        <w:contextualSpacing/>
        <w:textAlignment w:val="baseline"/>
      </w:pPr>
      <w:r w:rsidRPr="00437896">
        <w:t>Gwarantowana przepustowość minimalna łącza symetrycznego w kierunku od/do Zamawiając</w:t>
      </w:r>
      <w:r w:rsidRPr="00437896">
        <w:t>ego (</w:t>
      </w:r>
      <w:proofErr w:type="spellStart"/>
      <w:r w:rsidRPr="00437896">
        <w:t>upload</w:t>
      </w:r>
      <w:proofErr w:type="spellEnd"/>
      <w:r w:rsidRPr="00437896">
        <w:t>/</w:t>
      </w:r>
      <w:proofErr w:type="spellStart"/>
      <w:r w:rsidRPr="00437896">
        <w:t>download</w:t>
      </w:r>
      <w:proofErr w:type="spellEnd"/>
      <w:r w:rsidRPr="00437896">
        <w:t>) wynosi 650</w:t>
      </w:r>
      <w:r w:rsidRPr="00437896">
        <w:t>Mbps.</w:t>
      </w:r>
    </w:p>
    <w:p w:rsidR="00437896" w:rsidRPr="00437896" w:rsidRDefault="00437896" w:rsidP="00437896">
      <w:pPr>
        <w:pStyle w:val="Standard"/>
        <w:numPr>
          <w:ilvl w:val="0"/>
          <w:numId w:val="3"/>
        </w:numPr>
        <w:autoSpaceDE/>
        <w:autoSpaceDN w:val="0"/>
        <w:spacing w:line="360" w:lineRule="auto"/>
        <w:ind w:left="714" w:hanging="357"/>
        <w:contextualSpacing/>
        <w:textAlignment w:val="baseline"/>
      </w:pPr>
      <w:r w:rsidRPr="00437896">
        <w:t>Łącze i urządzenia końcowe dostarczone przez Wykonawcę muszą obsłużyć minimum po 30 tys. pakietów na sekundę wchodzących i wychodzących.</w:t>
      </w:r>
    </w:p>
    <w:p w:rsidR="00437896" w:rsidRPr="00437896" w:rsidRDefault="00437896" w:rsidP="00437896">
      <w:pPr>
        <w:pStyle w:val="Standard"/>
        <w:numPr>
          <w:ilvl w:val="0"/>
          <w:numId w:val="3"/>
        </w:numPr>
        <w:autoSpaceDE/>
        <w:autoSpaceDN w:val="0"/>
        <w:spacing w:line="360" w:lineRule="auto"/>
        <w:ind w:left="714" w:hanging="357"/>
        <w:contextualSpacing/>
        <w:textAlignment w:val="baseline"/>
      </w:pPr>
      <w:r w:rsidRPr="00437896">
        <w:t>Łącze i urządzenia końcowe dostarczone przez Wykonawcę muszą obsłużyć minimum 40 tys. sesji otwartych jednocześnie.</w:t>
      </w:r>
    </w:p>
    <w:p w:rsidR="00437896" w:rsidRPr="00437896" w:rsidRDefault="00437896" w:rsidP="00437896">
      <w:pPr>
        <w:pStyle w:val="Standard"/>
        <w:numPr>
          <w:ilvl w:val="0"/>
          <w:numId w:val="3"/>
        </w:numPr>
        <w:autoSpaceDE/>
        <w:autoSpaceDN w:val="0"/>
        <w:spacing w:line="360" w:lineRule="auto"/>
        <w:ind w:left="714" w:hanging="357"/>
        <w:contextualSpacing/>
        <w:textAlignment w:val="baseline"/>
      </w:pPr>
      <w:r w:rsidRPr="00437896">
        <w:t>Łącze musi być doprowadzone do budynku 4 Centrum Onkologii Ziemi Lubelskiej ul. Jaczewskiego 7 w Lublinie (pomieszczenie Główny Punkt Dystrybucyjny).</w:t>
      </w:r>
    </w:p>
    <w:p w:rsidR="00437896" w:rsidRPr="00437896" w:rsidRDefault="00437896" w:rsidP="00437896">
      <w:pPr>
        <w:pStyle w:val="Standard"/>
        <w:numPr>
          <w:ilvl w:val="0"/>
          <w:numId w:val="3"/>
        </w:numPr>
        <w:autoSpaceDE/>
        <w:autoSpaceDN w:val="0"/>
        <w:spacing w:line="360" w:lineRule="auto"/>
        <w:ind w:left="714" w:hanging="357"/>
        <w:contextualSpacing/>
        <w:textAlignment w:val="baseline"/>
      </w:pPr>
      <w:r w:rsidRPr="00437896">
        <w:t>Łącze zapasowe musi być niezależnym, fizycznie oddzielonym łączem od łącza podstawowego i musi być dostarczone od innego operatora niż łącze podstawowe.</w:t>
      </w:r>
    </w:p>
    <w:p w:rsidR="00437896" w:rsidRPr="00437896" w:rsidRDefault="00437896" w:rsidP="00437896">
      <w:pPr>
        <w:pStyle w:val="Standard"/>
        <w:numPr>
          <w:ilvl w:val="0"/>
          <w:numId w:val="3"/>
        </w:numPr>
        <w:autoSpaceDE/>
        <w:autoSpaceDN w:val="0"/>
        <w:spacing w:line="360" w:lineRule="auto"/>
        <w:ind w:left="714" w:hanging="357"/>
        <w:contextualSpacing/>
        <w:textAlignment w:val="baseline"/>
      </w:pPr>
      <w:r w:rsidRPr="00437896">
        <w:t>Doprowadzenie łącza do obiektu stałym, jednorodnym łączem optotelekomunikacyjnym – światłowód.</w:t>
      </w:r>
    </w:p>
    <w:p w:rsidR="00437896" w:rsidRPr="00437896" w:rsidRDefault="00437896" w:rsidP="00437896">
      <w:pPr>
        <w:pStyle w:val="Standard"/>
        <w:numPr>
          <w:ilvl w:val="0"/>
          <w:numId w:val="3"/>
        </w:numPr>
        <w:autoSpaceDE/>
        <w:autoSpaceDN w:val="0"/>
        <w:spacing w:line="360" w:lineRule="auto"/>
        <w:ind w:left="714" w:hanging="357"/>
        <w:contextualSpacing/>
        <w:textAlignment w:val="baseline"/>
      </w:pPr>
      <w:r w:rsidRPr="00437896">
        <w:t>Wykonawca zapewni ze swej strony niezbędny sprzęt oraz wykona konieczne prace instalatorskie w celu świadczenia usługi.</w:t>
      </w:r>
    </w:p>
    <w:p w:rsidR="00437896" w:rsidRPr="00437896" w:rsidRDefault="00437896" w:rsidP="00437896">
      <w:pPr>
        <w:pStyle w:val="Standard"/>
        <w:numPr>
          <w:ilvl w:val="0"/>
          <w:numId w:val="3"/>
        </w:numPr>
        <w:autoSpaceDE/>
        <w:autoSpaceDN w:val="0"/>
        <w:spacing w:line="360" w:lineRule="auto"/>
        <w:ind w:left="714" w:hanging="357"/>
        <w:contextualSpacing/>
        <w:textAlignment w:val="baseline"/>
      </w:pPr>
      <w:r w:rsidRPr="00437896">
        <w:t xml:space="preserve">Łącze zostanie zakończone interfejsem RJ45 lub wkładką </w:t>
      </w:r>
      <w:proofErr w:type="spellStart"/>
      <w:r w:rsidRPr="00437896">
        <w:t>miniGBIC</w:t>
      </w:r>
      <w:proofErr w:type="spellEnd"/>
      <w:r w:rsidRPr="00437896">
        <w:t xml:space="preserve">, która będzie współpracowała z urządzeniami firmy </w:t>
      </w:r>
      <w:proofErr w:type="spellStart"/>
      <w:r w:rsidRPr="00437896">
        <w:t>Netgear</w:t>
      </w:r>
      <w:proofErr w:type="spellEnd"/>
      <w:r w:rsidRPr="00437896">
        <w:t>.</w:t>
      </w:r>
    </w:p>
    <w:p w:rsidR="00437896" w:rsidRPr="00437896" w:rsidRDefault="00437896" w:rsidP="00437896">
      <w:pPr>
        <w:pStyle w:val="Standard"/>
        <w:numPr>
          <w:ilvl w:val="0"/>
          <w:numId w:val="3"/>
        </w:numPr>
        <w:autoSpaceDE/>
        <w:autoSpaceDN w:val="0"/>
        <w:spacing w:line="360" w:lineRule="auto"/>
        <w:ind w:left="714" w:hanging="357"/>
        <w:contextualSpacing/>
        <w:textAlignment w:val="baseline"/>
      </w:pPr>
      <w:r w:rsidRPr="00437896">
        <w:t>W przypadku niedostępności usługi z przyczyn leżących po stronie Wykonawcy Zamawiający ma prawo żądać od Wykonawcy zapłaty kary umownej w wysokości 100% dziennej stawki za każdy dzień bez dostępu, o ile dostępność usługi liczona w okresie miesiąca kalendarzowego wynosi mniej niż 99%.</w:t>
      </w:r>
    </w:p>
    <w:p w:rsidR="00437896" w:rsidRPr="00437896" w:rsidRDefault="00437896" w:rsidP="00437896">
      <w:pPr>
        <w:pStyle w:val="Standard"/>
        <w:numPr>
          <w:ilvl w:val="0"/>
          <w:numId w:val="3"/>
        </w:numPr>
        <w:autoSpaceDE/>
        <w:autoSpaceDN w:val="0"/>
        <w:spacing w:line="360" w:lineRule="auto"/>
        <w:ind w:left="714" w:hanging="357"/>
        <w:contextualSpacing/>
        <w:textAlignment w:val="baseline"/>
      </w:pPr>
      <w:r w:rsidRPr="00437896">
        <w:t>W ramach serwisu Wykonawca zapewnia telefoniczny numer kontaktowy oraz gotowość służb technicznych do usuwania awarii 24 godziny na dobę, 7 dni w tygodniu, przez cały okres trwania umowy.</w:t>
      </w:r>
    </w:p>
    <w:p w:rsidR="00437896" w:rsidRPr="00437896" w:rsidRDefault="00437896" w:rsidP="00437896">
      <w:pPr>
        <w:pStyle w:val="Standard"/>
        <w:numPr>
          <w:ilvl w:val="0"/>
          <w:numId w:val="3"/>
        </w:numPr>
        <w:autoSpaceDE/>
        <w:autoSpaceDN w:val="0"/>
        <w:spacing w:line="360" w:lineRule="auto"/>
        <w:ind w:left="714" w:hanging="357"/>
        <w:contextualSpacing/>
        <w:textAlignment w:val="baseline"/>
      </w:pPr>
      <w:r w:rsidRPr="00437896">
        <w:t>Wykonawca zapewni pulę minimum 13 stałych publicznych adresów IPv4 do wykorzystania przez Zamawiającego.</w:t>
      </w:r>
    </w:p>
    <w:p w:rsidR="00437896" w:rsidRPr="00437896" w:rsidRDefault="00437896" w:rsidP="00437896">
      <w:pPr>
        <w:pStyle w:val="Standard"/>
        <w:numPr>
          <w:ilvl w:val="0"/>
          <w:numId w:val="3"/>
        </w:numPr>
        <w:autoSpaceDE/>
        <w:autoSpaceDN w:val="0"/>
        <w:spacing w:line="360" w:lineRule="auto"/>
        <w:ind w:left="714" w:hanging="357"/>
        <w:contextualSpacing/>
        <w:textAlignment w:val="baseline"/>
      </w:pPr>
      <w:r w:rsidRPr="00437896">
        <w:t xml:space="preserve">Wykonawca zapewni usługę </w:t>
      </w:r>
      <w:proofErr w:type="spellStart"/>
      <w:r w:rsidRPr="00437896">
        <w:t>revDNS</w:t>
      </w:r>
      <w:proofErr w:type="spellEnd"/>
      <w:r w:rsidRPr="00437896">
        <w:t xml:space="preserve"> na przydzielonych adresach IP.</w:t>
      </w:r>
    </w:p>
    <w:p w:rsidR="00437896" w:rsidRPr="00437896" w:rsidRDefault="00437896" w:rsidP="00437896">
      <w:pPr>
        <w:pStyle w:val="Standard"/>
        <w:numPr>
          <w:ilvl w:val="0"/>
          <w:numId w:val="3"/>
        </w:numPr>
        <w:autoSpaceDE/>
        <w:autoSpaceDN w:val="0"/>
        <w:spacing w:line="360" w:lineRule="auto"/>
        <w:ind w:left="714" w:hanging="357"/>
        <w:contextualSpacing/>
        <w:textAlignment w:val="baseline"/>
      </w:pPr>
      <w:r w:rsidRPr="00437896">
        <w:t>Umowa zawarta będzie na okres 24 miesięcy.</w:t>
      </w:r>
    </w:p>
    <w:p w:rsidR="00437896" w:rsidRPr="00437896" w:rsidRDefault="00437896" w:rsidP="005A10A8">
      <w:pPr>
        <w:spacing w:before="120" w:after="120"/>
        <w:rPr>
          <w:rFonts w:cs="Times New Roman"/>
          <w:b/>
          <w:sz w:val="24"/>
          <w:szCs w:val="24"/>
        </w:rPr>
      </w:pPr>
      <w:bookmarkStart w:id="0" w:name="_GoBack"/>
      <w:bookmarkEnd w:id="0"/>
    </w:p>
    <w:sectPr w:rsidR="00437896" w:rsidRPr="00437896" w:rsidSect="000E652F">
      <w:pgSz w:w="11906" w:h="16838"/>
      <w:pgMar w:top="567" w:right="1134" w:bottom="1134" w:left="1134" w:header="0" w:footer="0" w:gutter="0"/>
      <w:cols w:space="708"/>
      <w:formProt w:val="0"/>
      <w:docGrid w:linePitch="360" w:charSpace="-16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6A3"/>
    <w:multiLevelType w:val="multilevel"/>
    <w:tmpl w:val="95FC4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0CE24E7"/>
    <w:multiLevelType w:val="multilevel"/>
    <w:tmpl w:val="C3B6C59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color w:val="000000"/>
        <w:sz w:val="24"/>
        <w:szCs w:val="1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359"/>
        </w:tabs>
        <w:ind w:left="1359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0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6FA84E4F"/>
    <w:multiLevelType w:val="multilevel"/>
    <w:tmpl w:val="029466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AA"/>
    <w:rsid w:val="000E652F"/>
    <w:rsid w:val="002713AA"/>
    <w:rsid w:val="00437896"/>
    <w:rsid w:val="005A10A8"/>
    <w:rsid w:val="00A30D8D"/>
    <w:rsid w:val="00F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8E2E5-3E93-412D-9BC6-5227A3F7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Times New Roman" w:eastAsia="Lucida Sans Unicode" w:hAnsi="Times New Roman" w:cs="Tahoma"/>
      <w:color w:val="00000A"/>
      <w:sz w:val="28"/>
      <w:szCs w:val="28"/>
      <w:lang w:eastAsia="ar-SA" w:bidi="pl-PL"/>
    </w:rPr>
  </w:style>
  <w:style w:type="paragraph" w:styleId="Nagwek1">
    <w:name w:val="heading 1"/>
    <w:basedOn w:val="Normalny"/>
    <w:pPr>
      <w:keepNext/>
      <w:outlineLvl w:val="0"/>
    </w:pPr>
    <w:rPr>
      <w:rFonts w:ascii="Tahoma" w:hAnsi="Tahoma"/>
      <w:b/>
    </w:rPr>
  </w:style>
  <w:style w:type="paragraph" w:styleId="Nagwek3">
    <w:name w:val="heading 3"/>
    <w:basedOn w:val="Normalny"/>
    <w:pPr>
      <w:keepNext/>
      <w:spacing w:line="360" w:lineRule="auto"/>
      <w:jc w:val="center"/>
      <w:outlineLvl w:val="2"/>
    </w:pPr>
    <w:rPr>
      <w:rFonts w:ascii="Tahoma" w:hAnsi="Tahoma"/>
    </w:rPr>
  </w:style>
  <w:style w:type="paragraph" w:styleId="Nagwek5">
    <w:name w:val="heading 5"/>
    <w:basedOn w:val="Normalny"/>
    <w:pPr>
      <w:keepNext/>
      <w:outlineLvl w:val="4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 w:val="0"/>
      <w:bCs w:val="0"/>
      <w:i w:val="0"/>
      <w:iCs w:val="0"/>
      <w:color w:val="000000"/>
      <w:sz w:val="18"/>
      <w:szCs w:val="18"/>
    </w:rPr>
  </w:style>
  <w:style w:type="character" w:customStyle="1" w:styleId="WW8Num2z1">
    <w:name w:val="WW8Num2z1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3">
    <w:name w:val="WW8Num2z3"/>
    <w:rPr>
      <w:rFonts w:ascii="Symbol" w:hAnsi="Symbol"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rPr>
      <w:b w:val="0"/>
      <w:bCs w:val="0"/>
      <w:i w:val="0"/>
      <w:iCs w:val="0"/>
      <w:color w:val="000000"/>
      <w:sz w:val="24"/>
      <w:szCs w:val="18"/>
    </w:rPr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rPr>
      <w:b w:val="0"/>
      <w:bCs w:val="0"/>
      <w:i w:val="0"/>
      <w:iCs w:val="0"/>
      <w:color w:val="000000"/>
      <w:sz w:val="24"/>
      <w:szCs w:val="18"/>
    </w:rPr>
  </w:style>
  <w:style w:type="character" w:customStyle="1" w:styleId="ListLabel5">
    <w:name w:val="ListLabel 5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rPr>
      <w:rFonts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hAnsi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rPr>
      <w:rFonts w:ascii="Tahoma" w:hAnsi="Tahoma"/>
      <w:b/>
    </w:rPr>
  </w:style>
  <w:style w:type="paragraph" w:customStyle="1" w:styleId="Tekstpodstawowywcity21">
    <w:name w:val="Tekst podstawowy wcięty 21"/>
    <w:basedOn w:val="Normalny"/>
    <w:pPr>
      <w:ind w:left="142" w:hanging="142"/>
      <w:jc w:val="both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Standard">
    <w:name w:val="Standard"/>
    <w:rsid w:val="0043789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Bator</dc:creator>
  <cp:lastModifiedBy>Uzytkownik Samby</cp:lastModifiedBy>
  <cp:revision>4</cp:revision>
  <cp:lastPrinted>2022-12-15T11:15:00Z</cp:lastPrinted>
  <dcterms:created xsi:type="dcterms:W3CDTF">2022-12-15T10:51:00Z</dcterms:created>
  <dcterms:modified xsi:type="dcterms:W3CDTF">2023-02-08T12:50:00Z</dcterms:modified>
</cp:coreProperties>
</file>