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55409458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A81C67">
        <w:rPr>
          <w:rFonts w:asciiTheme="minorHAnsi" w:hAnsiTheme="minorHAnsi" w:cstheme="minorHAnsi"/>
          <w:b/>
        </w:rPr>
        <w:t>52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46D558A0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7900CA">
        <w:rPr>
          <w:rFonts w:asciiTheme="minorHAnsi" w:hAnsiTheme="minorHAnsi" w:cstheme="minorHAnsi"/>
        </w:rPr>
        <w:t>…..07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D9C35EF" w:rsidR="00F252FE" w:rsidRPr="001031B0" w:rsidRDefault="00A81C67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modernizacji i rozbudowy Punktu Selektywnej Zbiórki Odpadów Komunalnych 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br/>
        <w:t>w Białych Błotach</w:t>
      </w:r>
    </w:p>
    <w:p w14:paraId="39B42475" w14:textId="69B7DD3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068BF06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A81C67">
        <w:rPr>
          <w:rFonts w:asciiTheme="minorHAnsi" w:hAnsiTheme="minorHAnsi" w:cstheme="minorHAnsi"/>
          <w:b/>
          <w:spacing w:val="-6"/>
        </w:rPr>
        <w:t>52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01A6DA1C" w:rsidR="004E241D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90A1FF6" w14:textId="77777777" w:rsidR="000B49FE" w:rsidRPr="007D4DD6" w:rsidRDefault="000B49FE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728CC27D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>Projekt modernizacji i rozbudowy Punktu Selektywnej Zbiórki Odpadów Komunalnych w Białych Błotach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FB7F9A3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0B49FE">
        <w:rPr>
          <w:rFonts w:asciiTheme="minorHAnsi" w:hAnsiTheme="minorHAnsi" w:cstheme="minorHAnsi"/>
          <w:b/>
          <w:spacing w:val="-6"/>
        </w:rPr>
        <w:t>7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2D8C441B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w specjalności </w:t>
      </w:r>
      <w:proofErr w:type="spellStart"/>
      <w:r w:rsidRPr="00135124">
        <w:rPr>
          <w:rFonts w:asciiTheme="minorHAnsi" w:hAnsiTheme="minorHAnsi" w:cstheme="minorHAnsi"/>
          <w:spacing w:val="-6"/>
        </w:rPr>
        <w:t>konstrukcyjno</w:t>
      </w:r>
      <w:proofErr w:type="spellEnd"/>
      <w:r w:rsidRPr="0013512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–</w:t>
      </w:r>
      <w:r w:rsidRPr="00135124">
        <w:rPr>
          <w:rFonts w:asciiTheme="minorHAnsi" w:hAnsiTheme="minorHAnsi" w:cstheme="minorHAnsi"/>
          <w:spacing w:val="-6"/>
        </w:rPr>
        <w:t xml:space="preserve"> budowlanej</w:t>
      </w:r>
      <w:r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09C5198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7B81CEB5" w:rsidR="00C14C64" w:rsidRPr="00ED0301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3DE3FA74" w14:textId="77777777" w:rsidR="00ED0301" w:rsidRPr="007E7812" w:rsidRDefault="00ED0301" w:rsidP="00ED030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lastRenderedPageBreak/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6E0C18EB" w:rsidR="00C14C64" w:rsidRPr="00ED0301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6124D4F9" w14:textId="77777777" w:rsidR="00ED0301" w:rsidRPr="000942EA" w:rsidRDefault="00ED0301" w:rsidP="00ED0301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MIEJSCE I TERMIN SKŁADANIA I OTWARCIA OFERT </w:t>
      </w:r>
    </w:p>
    <w:p w14:paraId="003E712A" w14:textId="57370EEC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B49FE">
        <w:rPr>
          <w:rFonts w:asciiTheme="minorHAnsi" w:hAnsiTheme="minorHAnsi" w:cstheme="minorHAnsi"/>
          <w:b/>
          <w:color w:val="0070C0"/>
          <w:lang w:eastAsia="pl-PL"/>
        </w:rPr>
        <w:t>03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14791EA0" w:rsidR="00C14C6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0598A1B1" w14:textId="77777777" w:rsidR="000B49FE" w:rsidRPr="000942EA" w:rsidRDefault="000B49FE" w:rsidP="000B49F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i/>
        </w:rPr>
        <w:t>Wzory oświadczeń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36C0274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B49FE">
        <w:rPr>
          <w:rFonts w:asciiTheme="minorHAnsi" w:hAnsiTheme="minorHAnsi" w:cstheme="minorHAnsi"/>
          <w:webHidden/>
          <w:spacing w:val="-10"/>
        </w:rPr>
        <w:t>Dorota Piasecka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0B49FE">
        <w:rPr>
          <w:rFonts w:asciiTheme="minorHAnsi" w:hAnsiTheme="minorHAnsi" w:cstheme="minorHAnsi"/>
          <w:webHidden/>
          <w:spacing w:val="-10"/>
        </w:rPr>
        <w:t>49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CD92-2248-4FFD-BDA5-E312E782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2021-05-31T09:57:00Z</cp:lastPrinted>
  <dcterms:created xsi:type="dcterms:W3CDTF">2021-07-13T09:02:00Z</dcterms:created>
  <dcterms:modified xsi:type="dcterms:W3CDTF">2021-07-15T08:37:00Z</dcterms:modified>
</cp:coreProperties>
</file>