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C73A" w14:textId="77777777" w:rsidR="00373164" w:rsidRPr="00774ADA" w:rsidRDefault="00373164" w:rsidP="00AB244C">
      <w:pPr>
        <w:widowControl w:val="0"/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  <w:bookmarkStart w:id="0" w:name="_Hlk71525970"/>
      <w:bookmarkStart w:id="1" w:name="_Hlk182993499"/>
      <w:r w:rsidRPr="00774ADA">
        <w:rPr>
          <w:rFonts w:ascii="Calibri" w:hAnsi="Calibri" w:cs="Calibri"/>
          <w:b/>
          <w:bCs/>
          <w:sz w:val="20"/>
          <w:szCs w:val="20"/>
        </w:rPr>
        <w:t>Zamawiający:</w:t>
      </w:r>
    </w:p>
    <w:p w14:paraId="652EBB75" w14:textId="77777777" w:rsidR="00373164" w:rsidRPr="00774ADA" w:rsidRDefault="00373164" w:rsidP="00AB244C">
      <w:pPr>
        <w:spacing w:after="0" w:line="240" w:lineRule="auto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eastAsia="Arial Unicode MS" w:hAnsi="Calibri" w:cs="Calibri"/>
        </w:rPr>
        <w:t>Polskie Wydawnictwo Muzyczne</w:t>
      </w:r>
    </w:p>
    <w:p w14:paraId="4CDA6AF8" w14:textId="77777777" w:rsidR="00373164" w:rsidRPr="00774ADA" w:rsidRDefault="00373164" w:rsidP="00AB244C">
      <w:pPr>
        <w:spacing w:after="0" w:line="240" w:lineRule="auto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eastAsia="Arial Unicode MS" w:hAnsi="Calibri" w:cs="Calibri"/>
        </w:rPr>
        <w:t>al. Krasińskiego 11a</w:t>
      </w:r>
    </w:p>
    <w:p w14:paraId="72468269" w14:textId="77777777" w:rsidR="00373164" w:rsidRPr="00774ADA" w:rsidRDefault="00373164" w:rsidP="00AB244C">
      <w:pPr>
        <w:spacing w:after="0" w:line="240" w:lineRule="auto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eastAsia="Arial Unicode MS" w:hAnsi="Calibri" w:cs="Calibri"/>
        </w:rPr>
        <w:t>31-111 Kraków</w:t>
      </w:r>
    </w:p>
    <w:p w14:paraId="1605D994" w14:textId="77777777" w:rsidR="00373164" w:rsidRPr="00774ADA" w:rsidRDefault="00373164" w:rsidP="00AB244C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78B7BD" w14:textId="77777777" w:rsidR="00373164" w:rsidRPr="00774ADA" w:rsidRDefault="00373164" w:rsidP="00AB244C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hAnsi="Calibri" w:cs="Calibri"/>
        </w:rPr>
        <w:t>Zespół Zamówień Publicznych</w:t>
      </w:r>
    </w:p>
    <w:p w14:paraId="272DB79C" w14:textId="77777777" w:rsidR="00373164" w:rsidRPr="00774ADA" w:rsidRDefault="00373164" w:rsidP="00AB244C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hAnsi="Calibri" w:cs="Calibri"/>
        </w:rPr>
        <w:t xml:space="preserve">Telefon: (+48) 12 422 70 44 </w:t>
      </w:r>
    </w:p>
    <w:p w14:paraId="1FE9AF85" w14:textId="77777777" w:rsidR="00373164" w:rsidRPr="00774ADA" w:rsidRDefault="00373164" w:rsidP="00AB244C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hAnsi="Calibri" w:cs="Calibri"/>
        </w:rPr>
        <w:t>Fax.: (+48) 12 422 01 74</w:t>
      </w:r>
    </w:p>
    <w:p w14:paraId="62FF3E9B" w14:textId="77777777" w:rsidR="00373164" w:rsidRPr="00774ADA" w:rsidRDefault="00373164" w:rsidP="00AB244C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hAnsi="Calibri" w:cs="Calibri"/>
        </w:rPr>
        <w:t>e – mail: zamowienia_publiczne@pwm.com.pl</w:t>
      </w:r>
    </w:p>
    <w:p w14:paraId="7511B079" w14:textId="77777777" w:rsidR="00373164" w:rsidRPr="00774ADA" w:rsidRDefault="00373164" w:rsidP="00AB244C">
      <w:pPr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42AC0EF0" w14:textId="77777777" w:rsidR="00373164" w:rsidRPr="00774ADA" w:rsidRDefault="00373164" w:rsidP="00AB244C">
      <w:pPr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774ADA">
        <w:rPr>
          <w:rFonts w:ascii="Calibri" w:hAnsi="Calibri" w:cs="Calibri"/>
          <w:b/>
          <w:bCs/>
          <w:sz w:val="20"/>
          <w:szCs w:val="20"/>
        </w:rPr>
        <w:t xml:space="preserve">strona internetowa: </w:t>
      </w:r>
      <w:hyperlink r:id="rId7" w:history="1">
        <w:r w:rsidRPr="00774ADA">
          <w:rPr>
            <w:rStyle w:val="Hyperlink0"/>
            <w:rFonts w:ascii="Calibri" w:hAnsi="Calibri" w:cs="Calibri"/>
          </w:rPr>
          <w:t>www.pwm.com.pl</w:t>
        </w:r>
      </w:hyperlink>
      <w:r w:rsidRPr="00774ADA">
        <w:rPr>
          <w:rStyle w:val="BrakA"/>
          <w:rFonts w:ascii="Calibri" w:hAnsi="Calibri" w:cs="Calibri"/>
          <w:sz w:val="20"/>
          <w:szCs w:val="20"/>
        </w:rPr>
        <w:t xml:space="preserve"> </w:t>
      </w:r>
    </w:p>
    <w:p w14:paraId="5DC5E620" w14:textId="77777777" w:rsidR="00373164" w:rsidRPr="00774ADA" w:rsidRDefault="00373164" w:rsidP="00AB244C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14:paraId="0C1A4AC5" w14:textId="77777777" w:rsidR="00373164" w:rsidRPr="00774ADA" w:rsidRDefault="00373164" w:rsidP="00AB244C">
      <w:pPr>
        <w:spacing w:after="0" w:line="240" w:lineRule="auto"/>
        <w:rPr>
          <w:rFonts w:ascii="Calibri" w:eastAsia="Arial" w:hAnsi="Calibri" w:cs="Calibri"/>
          <w:b/>
          <w:bCs/>
          <w:sz w:val="20"/>
          <w:szCs w:val="20"/>
        </w:rPr>
      </w:pPr>
      <w:r w:rsidRPr="00774ADA">
        <w:rPr>
          <w:rFonts w:ascii="Calibri" w:hAnsi="Calibri" w:cs="Calibri"/>
          <w:b/>
          <w:bCs/>
          <w:sz w:val="20"/>
          <w:szCs w:val="20"/>
        </w:rPr>
        <w:t>Znak postępowania:</w:t>
      </w:r>
      <w:bookmarkEnd w:id="0"/>
      <w:r w:rsidRPr="00774ADA">
        <w:rPr>
          <w:rFonts w:ascii="Calibri" w:hAnsi="Calibri" w:cs="Calibri"/>
          <w:b/>
          <w:bCs/>
          <w:sz w:val="20"/>
          <w:szCs w:val="20"/>
        </w:rPr>
        <w:t xml:space="preserve"> ZZP.261.</w:t>
      </w:r>
      <w:r>
        <w:rPr>
          <w:rFonts w:ascii="Calibri" w:hAnsi="Calibri" w:cs="Calibri"/>
          <w:b/>
          <w:bCs/>
          <w:sz w:val="20"/>
          <w:szCs w:val="20"/>
        </w:rPr>
        <w:t>20</w:t>
      </w:r>
      <w:r w:rsidRPr="00774ADA">
        <w:rPr>
          <w:rFonts w:ascii="Calibri" w:hAnsi="Calibri" w:cs="Calibri"/>
          <w:b/>
          <w:bCs/>
          <w:sz w:val="20"/>
          <w:szCs w:val="20"/>
        </w:rPr>
        <w:t>.2024</w:t>
      </w:r>
    </w:p>
    <w:p w14:paraId="67B325AE" w14:textId="77777777" w:rsidR="00373164" w:rsidRPr="00774ADA" w:rsidRDefault="00373164" w:rsidP="00373164">
      <w:pPr>
        <w:rPr>
          <w:rFonts w:ascii="Calibri" w:eastAsia="Cambria" w:hAnsi="Calibri" w:cs="Calibri"/>
          <w:b/>
          <w:bCs/>
          <w:sz w:val="20"/>
          <w:szCs w:val="20"/>
        </w:rPr>
      </w:pPr>
    </w:p>
    <w:p w14:paraId="5EB9744D" w14:textId="77777777" w:rsidR="00373164" w:rsidRPr="00774ADA" w:rsidRDefault="00373164" w:rsidP="0037316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0BAFA3FD" w14:textId="77777777" w:rsidR="00373164" w:rsidRPr="00774ADA" w:rsidRDefault="00373164" w:rsidP="0037316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6C32D79B" w14:textId="77777777" w:rsidR="00373164" w:rsidRPr="00774ADA" w:rsidRDefault="00373164" w:rsidP="00AB244C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774ADA">
        <w:rPr>
          <w:rFonts w:ascii="Calibri" w:hAnsi="Calibri" w:cs="Calibri"/>
          <w:b/>
          <w:bCs/>
          <w:sz w:val="20"/>
          <w:szCs w:val="20"/>
        </w:rPr>
        <w:t>SPECYFIKACJA WARUNKÓW ZAMÓWIENIA</w:t>
      </w:r>
    </w:p>
    <w:p w14:paraId="75864613" w14:textId="77777777" w:rsidR="00373164" w:rsidRPr="00774ADA" w:rsidRDefault="00373164" w:rsidP="00AB244C">
      <w:pPr>
        <w:tabs>
          <w:tab w:val="center" w:pos="4592"/>
          <w:tab w:val="right" w:pos="9046"/>
        </w:tabs>
        <w:spacing w:after="0" w:line="240" w:lineRule="auto"/>
        <w:jc w:val="center"/>
        <w:rPr>
          <w:rStyle w:val="Hyperlink3"/>
          <w:rFonts w:ascii="Calibri" w:hAnsi="Calibri" w:cs="Calibri"/>
        </w:rPr>
      </w:pPr>
      <w:r w:rsidRPr="00774ADA">
        <w:rPr>
          <w:rStyle w:val="Hyperlink3"/>
          <w:rFonts w:ascii="Calibri" w:hAnsi="Calibri" w:cs="Calibri"/>
        </w:rPr>
        <w:t>(SWZ)</w:t>
      </w:r>
    </w:p>
    <w:p w14:paraId="3B3B2EFA" w14:textId="77777777" w:rsidR="00373164" w:rsidRPr="00774ADA" w:rsidRDefault="00373164" w:rsidP="00AB244C">
      <w:pPr>
        <w:spacing w:after="0" w:line="240" w:lineRule="auto"/>
        <w:jc w:val="center"/>
        <w:rPr>
          <w:rStyle w:val="Hyperlink3"/>
          <w:rFonts w:ascii="Calibri" w:hAnsi="Calibri" w:cs="Calibri"/>
        </w:rPr>
      </w:pPr>
      <w:r w:rsidRPr="00774ADA">
        <w:rPr>
          <w:rFonts w:ascii="Calibri" w:hAnsi="Calibri" w:cs="Calibri"/>
          <w:b/>
          <w:bCs/>
          <w:sz w:val="20"/>
          <w:szCs w:val="20"/>
        </w:rPr>
        <w:t>TRYB PODSTAWOWY BEZ NEGOCJACJI</w:t>
      </w:r>
      <w:r w:rsidRPr="00774ADA">
        <w:rPr>
          <w:rStyle w:val="Hyperlink3"/>
          <w:rFonts w:ascii="Calibri" w:hAnsi="Calibri" w:cs="Calibri"/>
        </w:rPr>
        <w:tab/>
      </w:r>
    </w:p>
    <w:p w14:paraId="68861232" w14:textId="77777777" w:rsidR="00373164" w:rsidRPr="00774ADA" w:rsidRDefault="00373164" w:rsidP="00AB244C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774ADA">
        <w:rPr>
          <w:rFonts w:ascii="Calibri" w:hAnsi="Calibri" w:cs="Calibri"/>
          <w:b/>
          <w:bCs/>
          <w:sz w:val="20"/>
          <w:szCs w:val="20"/>
        </w:rPr>
        <w:t xml:space="preserve">prowadzony zgodnie z postanowieniami ustawy z dnia 11 września 2019 r. </w:t>
      </w:r>
      <w:r w:rsidRPr="00774ADA">
        <w:rPr>
          <w:rFonts w:ascii="Calibri" w:eastAsia="Arial" w:hAnsi="Calibri" w:cs="Calibri"/>
          <w:b/>
          <w:bCs/>
          <w:sz w:val="20"/>
          <w:szCs w:val="20"/>
        </w:rPr>
        <w:br/>
      </w:r>
      <w:r w:rsidRPr="00774ADA">
        <w:rPr>
          <w:rFonts w:ascii="Calibri" w:hAnsi="Calibri" w:cs="Calibri"/>
          <w:b/>
          <w:bCs/>
          <w:sz w:val="20"/>
          <w:szCs w:val="20"/>
        </w:rPr>
        <w:t>Prawo zamówień publicznych ( tekst jedn. Dz.U. z 2024 r. poz. 1320)</w:t>
      </w:r>
    </w:p>
    <w:p w14:paraId="7A74FF26" w14:textId="77777777" w:rsidR="00373164" w:rsidRPr="00774ADA" w:rsidRDefault="00373164" w:rsidP="00AB244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56D3FB9" w14:textId="77777777" w:rsidR="00373164" w:rsidRPr="00774ADA" w:rsidRDefault="00373164" w:rsidP="00AB244C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774ADA">
        <w:rPr>
          <w:rFonts w:ascii="Calibri" w:hAnsi="Calibri" w:cs="Calibri"/>
          <w:b/>
          <w:bCs/>
          <w:sz w:val="20"/>
          <w:szCs w:val="20"/>
        </w:rPr>
        <w:t>na dostawy pn.:</w:t>
      </w:r>
    </w:p>
    <w:p w14:paraId="7B32A433" w14:textId="77777777" w:rsidR="00373164" w:rsidRPr="00774ADA" w:rsidRDefault="00373164" w:rsidP="00AB244C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774ADA">
        <w:rPr>
          <w:rFonts w:ascii="Calibri" w:eastAsia="Arial" w:hAnsi="Calibri" w:cs="Calibri"/>
          <w:b/>
          <w:bCs/>
          <w:sz w:val="20"/>
          <w:szCs w:val="20"/>
        </w:rPr>
        <w:t>„</w:t>
      </w:r>
      <w:r>
        <w:rPr>
          <w:rFonts w:ascii="Calibri" w:eastAsia="Arial" w:hAnsi="Calibri" w:cs="Calibri"/>
          <w:b/>
          <w:bCs/>
          <w:sz w:val="20"/>
          <w:szCs w:val="20"/>
        </w:rPr>
        <w:t>Zakup urządzeń NAS</w:t>
      </w:r>
      <w:r w:rsidRPr="00774ADA">
        <w:rPr>
          <w:rFonts w:ascii="Calibri" w:eastAsia="Arial" w:hAnsi="Calibri" w:cs="Calibri"/>
          <w:b/>
          <w:bCs/>
          <w:sz w:val="20"/>
          <w:szCs w:val="20"/>
        </w:rPr>
        <w:t>”</w:t>
      </w:r>
    </w:p>
    <w:p w14:paraId="60D22C71" w14:textId="77777777" w:rsidR="00373164" w:rsidRPr="00774ADA" w:rsidRDefault="00373164" w:rsidP="00AB244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9FFC4E3" w14:textId="77777777" w:rsidR="00373164" w:rsidRPr="00774ADA" w:rsidRDefault="00373164" w:rsidP="00AB244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4313080" w14:textId="77777777" w:rsidR="00373164" w:rsidRPr="00774ADA" w:rsidRDefault="00373164" w:rsidP="00373164">
      <w:pPr>
        <w:rPr>
          <w:rFonts w:ascii="Calibri" w:eastAsia="Arial" w:hAnsi="Calibri" w:cs="Calibri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373164" w:rsidRPr="00774ADA" w14:paraId="6D689C9E" w14:textId="77777777" w:rsidTr="00A01A25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E780A" w14:textId="77777777" w:rsidR="00373164" w:rsidRPr="00774ADA" w:rsidRDefault="00373164" w:rsidP="00A01A2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4A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F3CC" w14:textId="77777777" w:rsidR="00373164" w:rsidRPr="00774ADA" w:rsidRDefault="00373164" w:rsidP="00A01A2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4A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Części</w:t>
            </w:r>
          </w:p>
        </w:tc>
      </w:tr>
      <w:tr w:rsidR="00373164" w:rsidRPr="00774ADA" w14:paraId="53EF8E17" w14:textId="77777777" w:rsidTr="00A01A25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D4C7D" w14:textId="331E9A39" w:rsidR="00373164" w:rsidRPr="00774ADA" w:rsidRDefault="00373164" w:rsidP="00A01A2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4A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II</w:t>
            </w:r>
            <w:r w:rsidRPr="00774A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C4853" w14:textId="2EA3F1D6" w:rsidR="00373164" w:rsidRPr="00774ADA" w:rsidRDefault="00373164" w:rsidP="00A01A25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przedmiotu zamówienia (OPZ)</w:t>
            </w:r>
          </w:p>
        </w:tc>
      </w:tr>
    </w:tbl>
    <w:p w14:paraId="282ADE9A" w14:textId="77777777" w:rsidR="00373164" w:rsidRPr="00774ADA" w:rsidRDefault="00373164" w:rsidP="00373164">
      <w:pPr>
        <w:widowControl w:val="0"/>
        <w:jc w:val="center"/>
        <w:rPr>
          <w:rFonts w:ascii="Calibri" w:eastAsia="Arial" w:hAnsi="Calibri" w:cs="Calibri"/>
          <w:sz w:val="20"/>
          <w:szCs w:val="20"/>
        </w:rPr>
      </w:pPr>
    </w:p>
    <w:bookmarkEnd w:id="1"/>
    <w:p w14:paraId="69577CF0" w14:textId="77777777" w:rsidR="00373164" w:rsidRPr="00774ADA" w:rsidRDefault="00373164" w:rsidP="00373164">
      <w:pPr>
        <w:spacing w:after="120"/>
        <w:rPr>
          <w:rFonts w:ascii="Calibri" w:eastAsia="Calibri" w:hAnsi="Calibri" w:cs="Calibri"/>
        </w:rPr>
      </w:pPr>
    </w:p>
    <w:p w14:paraId="5C60F35B" w14:textId="77777777" w:rsidR="00373164" w:rsidRPr="00774ADA" w:rsidRDefault="00373164" w:rsidP="00373164">
      <w:pPr>
        <w:spacing w:after="120"/>
        <w:rPr>
          <w:rFonts w:ascii="Calibri" w:eastAsia="Calibri" w:hAnsi="Calibri" w:cs="Calibri"/>
        </w:rPr>
      </w:pPr>
    </w:p>
    <w:p w14:paraId="0E64C0AE" w14:textId="77777777" w:rsidR="00373164" w:rsidRPr="00774ADA" w:rsidRDefault="00373164" w:rsidP="00373164">
      <w:pPr>
        <w:spacing w:after="120"/>
        <w:rPr>
          <w:rFonts w:ascii="Calibri" w:eastAsia="Calibri" w:hAnsi="Calibri" w:cs="Calibri"/>
        </w:rPr>
      </w:pPr>
    </w:p>
    <w:p w14:paraId="4A4085CA" w14:textId="77777777" w:rsidR="00373164" w:rsidRPr="00774ADA" w:rsidRDefault="00373164" w:rsidP="00373164">
      <w:pPr>
        <w:spacing w:after="120"/>
        <w:rPr>
          <w:rFonts w:ascii="Calibri" w:eastAsia="Calibri" w:hAnsi="Calibri" w:cs="Calibri"/>
        </w:rPr>
      </w:pPr>
    </w:p>
    <w:p w14:paraId="2859612A" w14:textId="77777777" w:rsidR="00373164" w:rsidRPr="00774ADA" w:rsidRDefault="00373164" w:rsidP="00373164">
      <w:pPr>
        <w:spacing w:after="120"/>
        <w:rPr>
          <w:rFonts w:ascii="Calibri" w:eastAsia="Calibri" w:hAnsi="Calibri" w:cs="Calibri"/>
        </w:rPr>
      </w:pPr>
    </w:p>
    <w:p w14:paraId="07F14661" w14:textId="77777777" w:rsidR="00373164" w:rsidRPr="00774ADA" w:rsidRDefault="00373164" w:rsidP="00373164">
      <w:pPr>
        <w:rPr>
          <w:rFonts w:ascii="Calibri" w:hAnsi="Calibri" w:cs="Calibri"/>
        </w:rPr>
      </w:pPr>
      <w:r w:rsidRPr="00774ADA">
        <w:rPr>
          <w:rFonts w:ascii="Calibri" w:eastAsia="Arial Unicode MS" w:hAnsi="Calibri" w:cs="Calibri"/>
        </w:rPr>
        <w:br w:type="page"/>
      </w:r>
    </w:p>
    <w:p w14:paraId="2CE9C159" w14:textId="77777777" w:rsidR="00373164" w:rsidRDefault="00373164" w:rsidP="00AB244C">
      <w:pPr>
        <w:jc w:val="both"/>
        <w:rPr>
          <w:b/>
          <w:bCs/>
        </w:rPr>
      </w:pPr>
    </w:p>
    <w:p w14:paraId="29442A9F" w14:textId="77777777" w:rsidR="00373164" w:rsidRDefault="00373164" w:rsidP="00DF2474">
      <w:pPr>
        <w:jc w:val="center"/>
        <w:rPr>
          <w:b/>
          <w:bCs/>
        </w:rPr>
      </w:pPr>
    </w:p>
    <w:p w14:paraId="0C09E047" w14:textId="77777777" w:rsidR="00373164" w:rsidRDefault="00373164" w:rsidP="00DF2474">
      <w:pPr>
        <w:jc w:val="center"/>
        <w:rPr>
          <w:b/>
          <w:bCs/>
        </w:rPr>
      </w:pPr>
    </w:p>
    <w:p w14:paraId="401A5072" w14:textId="77777777" w:rsidR="00373164" w:rsidRDefault="00373164" w:rsidP="00DF2474">
      <w:pPr>
        <w:jc w:val="center"/>
        <w:rPr>
          <w:b/>
          <w:bCs/>
        </w:rPr>
      </w:pPr>
    </w:p>
    <w:p w14:paraId="037918C2" w14:textId="54F46D84" w:rsidR="005B6C6C" w:rsidRDefault="00CE7D0E" w:rsidP="00DF2474">
      <w:pPr>
        <w:jc w:val="center"/>
        <w:rPr>
          <w:b/>
          <w:bCs/>
        </w:rPr>
      </w:pPr>
      <w:r>
        <w:rPr>
          <w:b/>
          <w:bCs/>
        </w:rPr>
        <w:t>O</w:t>
      </w:r>
      <w:r w:rsidR="005B6C6C" w:rsidRPr="00DF2474">
        <w:rPr>
          <w:b/>
          <w:bCs/>
        </w:rPr>
        <w:t>pis Przedmiotu Zamówienia</w:t>
      </w:r>
    </w:p>
    <w:p w14:paraId="514DC7EF" w14:textId="39C14FCD" w:rsidR="00BD7C1A" w:rsidRPr="00AB244C" w:rsidRDefault="00BD7C1A" w:rsidP="00AB244C">
      <w:pPr>
        <w:jc w:val="center"/>
        <w:rPr>
          <w:b/>
          <w:bCs/>
        </w:rPr>
      </w:pPr>
      <w:r w:rsidRPr="00AB244C">
        <w:rPr>
          <w:b/>
          <w:bCs/>
        </w:rPr>
        <w:t xml:space="preserve">Zakup </w:t>
      </w:r>
      <w:r>
        <w:rPr>
          <w:b/>
          <w:bCs/>
        </w:rPr>
        <w:t xml:space="preserve">urządzeń </w:t>
      </w:r>
      <w:r w:rsidRPr="00AB244C">
        <w:rPr>
          <w:b/>
          <w:bCs/>
        </w:rPr>
        <w:t xml:space="preserve"> NAS</w:t>
      </w:r>
      <w:r>
        <w:rPr>
          <w:b/>
          <w:bCs/>
        </w:rPr>
        <w:t xml:space="preserve"> </w:t>
      </w:r>
      <w:r w:rsidRPr="00AB244C">
        <w:rPr>
          <w:b/>
          <w:bCs/>
        </w:rPr>
        <w:t xml:space="preserve"> </w:t>
      </w:r>
    </w:p>
    <w:p w14:paraId="706E0808" w14:textId="77777777" w:rsidR="00BD7C1A" w:rsidRDefault="00BD7C1A" w:rsidP="00DF2474">
      <w:pPr>
        <w:pStyle w:val="Nagwek2"/>
      </w:pPr>
    </w:p>
    <w:p w14:paraId="57B76CF1" w14:textId="2FFBF836" w:rsidR="005B6C6C" w:rsidRDefault="005B6C6C" w:rsidP="00DF2474">
      <w:pPr>
        <w:pStyle w:val="Nagwek2"/>
      </w:pPr>
      <w:r>
        <w:t>1. OPIS</w:t>
      </w:r>
    </w:p>
    <w:p w14:paraId="5692FCFC" w14:textId="72F8488F" w:rsidR="00002564" w:rsidRDefault="00002564" w:rsidP="005B6C6C">
      <w:r>
        <w:t xml:space="preserve">a) </w:t>
      </w:r>
      <w:r w:rsidRPr="00ED3373">
        <w:t>Zakup</w:t>
      </w:r>
      <w:r>
        <w:t xml:space="preserve"> </w:t>
      </w:r>
      <w:r w:rsidRPr="00ED3373">
        <w:t>urządze</w:t>
      </w:r>
      <w:r>
        <w:t>nia</w:t>
      </w:r>
      <w:r w:rsidRPr="00ED3373">
        <w:t xml:space="preserve"> NAS do przechowywania kopi</w:t>
      </w:r>
      <w:r>
        <w:t xml:space="preserve">i zapasowych – </w:t>
      </w:r>
      <w:r w:rsidRPr="00002564">
        <w:rPr>
          <w:b/>
          <w:bCs/>
        </w:rPr>
        <w:t xml:space="preserve">2 </w:t>
      </w:r>
      <w:r>
        <w:t>sztuki</w:t>
      </w:r>
    </w:p>
    <w:p w14:paraId="32DB48AC" w14:textId="58D3D806" w:rsidR="005B6C6C" w:rsidRDefault="00002564" w:rsidP="005B6C6C">
      <w:r>
        <w:t>b</w:t>
      </w:r>
      <w:r w:rsidR="005B6C6C">
        <w:t>) Sprzęt musi pochodzić z oficjalnego kanału dystrybucyjnego dla Polski. (Zamawiający zastrzega sobie możliwość weryfikacji dostawy u producenta)</w:t>
      </w:r>
    </w:p>
    <w:p w14:paraId="217FB046" w14:textId="471980D3" w:rsidR="005B6C6C" w:rsidRDefault="00002564" w:rsidP="005B6C6C">
      <w:r>
        <w:t>c</w:t>
      </w:r>
      <w:r w:rsidR="005B6C6C">
        <w:t>) Wykonawca dokonuje rejestracji sprzętu w serwisie producenta w imieniu Zamawiającego w terminie do 7 dni od daty dostawy potwierdzonej protokołem odbioru.</w:t>
      </w:r>
    </w:p>
    <w:p w14:paraId="18F4B159" w14:textId="77777777" w:rsidR="00ED3373" w:rsidRDefault="00ED3373" w:rsidP="00DF2474">
      <w:pPr>
        <w:pStyle w:val="Nagwek2"/>
      </w:pPr>
    </w:p>
    <w:p w14:paraId="2FE56C22" w14:textId="2C963179" w:rsidR="005B6C6C" w:rsidRDefault="005B6C6C" w:rsidP="00DF2474">
      <w:pPr>
        <w:pStyle w:val="Nagwek2"/>
      </w:pPr>
      <w:r>
        <w:t>2. OPIS SZCZEGÓŁOWY:</w:t>
      </w:r>
    </w:p>
    <w:p w14:paraId="01E17AF7" w14:textId="77777777" w:rsidR="009C5C4E" w:rsidRDefault="009C5C4E" w:rsidP="009C5C4E">
      <w:r>
        <w:t>Macierz dyskowa zgodna ze specyfikacją jak niżej:</w:t>
      </w:r>
    </w:p>
    <w:p w14:paraId="6F0BB07C" w14:textId="77777777" w:rsidR="004631B9" w:rsidRDefault="004631B9" w:rsidP="004631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1B9" w:rsidRPr="004631B9" w14:paraId="42330EF7" w14:textId="77777777" w:rsidTr="004631B9">
        <w:tc>
          <w:tcPr>
            <w:tcW w:w="4531" w:type="dxa"/>
          </w:tcPr>
          <w:p w14:paraId="0BB3943C" w14:textId="77777777" w:rsidR="004631B9" w:rsidRPr="004631B9" w:rsidRDefault="004631B9" w:rsidP="00EA6FBB">
            <w:bookmarkStart w:id="2" w:name="_Hlk183107314"/>
            <w:r w:rsidRPr="004631B9">
              <w:t>Procesor</w:t>
            </w:r>
          </w:p>
        </w:tc>
        <w:tc>
          <w:tcPr>
            <w:tcW w:w="4531" w:type="dxa"/>
          </w:tcPr>
          <w:p w14:paraId="2E7E669B" w14:textId="619462E1" w:rsidR="004631B9" w:rsidRPr="004631B9" w:rsidRDefault="004631B9" w:rsidP="00EA6FBB">
            <w:r w:rsidRPr="004631B9">
              <w:t xml:space="preserve">Nie mniej niż  8 rdzeni/16-wątków, oferujący zwiększenie taktowania do </w:t>
            </w:r>
            <w:r w:rsidR="00002564">
              <w:t xml:space="preserve">nie mniej niż </w:t>
            </w:r>
            <w:r w:rsidRPr="004631B9">
              <w:t>5,3 GHz</w:t>
            </w:r>
          </w:p>
        </w:tc>
      </w:tr>
      <w:tr w:rsidR="004631B9" w:rsidRPr="004631B9" w14:paraId="34DC626F" w14:textId="77777777" w:rsidTr="004631B9">
        <w:tc>
          <w:tcPr>
            <w:tcW w:w="4531" w:type="dxa"/>
          </w:tcPr>
          <w:p w14:paraId="3BD1FE96" w14:textId="77777777" w:rsidR="004631B9" w:rsidRPr="004631B9" w:rsidRDefault="004631B9" w:rsidP="00EA6FBB">
            <w:r w:rsidRPr="004631B9">
              <w:t>Zintegrowana karta graficzna</w:t>
            </w:r>
          </w:p>
        </w:tc>
        <w:tc>
          <w:tcPr>
            <w:tcW w:w="4531" w:type="dxa"/>
          </w:tcPr>
          <w:p w14:paraId="022086B4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23008EB7" w14:textId="77777777" w:rsidTr="004631B9">
        <w:tc>
          <w:tcPr>
            <w:tcW w:w="4531" w:type="dxa"/>
          </w:tcPr>
          <w:p w14:paraId="05B91B44" w14:textId="77777777" w:rsidR="004631B9" w:rsidRPr="004631B9" w:rsidRDefault="004631B9" w:rsidP="00EA6FBB">
            <w:r w:rsidRPr="004631B9">
              <w:t>Architektura procesora</w:t>
            </w:r>
          </w:p>
        </w:tc>
        <w:tc>
          <w:tcPr>
            <w:tcW w:w="4531" w:type="dxa"/>
          </w:tcPr>
          <w:p w14:paraId="2957A924" w14:textId="77777777" w:rsidR="004631B9" w:rsidRPr="004631B9" w:rsidRDefault="004631B9" w:rsidP="00EA6FBB">
            <w:r w:rsidRPr="004631B9">
              <w:t>64-bitowy x86</w:t>
            </w:r>
          </w:p>
        </w:tc>
      </w:tr>
      <w:tr w:rsidR="004631B9" w:rsidRPr="004631B9" w14:paraId="7E945DCE" w14:textId="77777777" w:rsidTr="004631B9">
        <w:tc>
          <w:tcPr>
            <w:tcW w:w="4531" w:type="dxa"/>
          </w:tcPr>
          <w:p w14:paraId="676FC4A4" w14:textId="77777777" w:rsidR="004631B9" w:rsidRPr="004631B9" w:rsidRDefault="004631B9" w:rsidP="00EA6FBB">
            <w:r w:rsidRPr="004631B9">
              <w:t>Koprocesor arytmetyczny FPU</w:t>
            </w:r>
          </w:p>
        </w:tc>
        <w:tc>
          <w:tcPr>
            <w:tcW w:w="4531" w:type="dxa"/>
          </w:tcPr>
          <w:p w14:paraId="45D7B054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79388E7B" w14:textId="77777777" w:rsidTr="004631B9">
        <w:tc>
          <w:tcPr>
            <w:tcW w:w="4531" w:type="dxa"/>
          </w:tcPr>
          <w:p w14:paraId="1CDF9921" w14:textId="77777777" w:rsidR="004631B9" w:rsidRPr="004631B9" w:rsidRDefault="004631B9" w:rsidP="00EA6FBB">
            <w:r w:rsidRPr="004631B9">
              <w:t>Mechanizm szyfrowania</w:t>
            </w:r>
          </w:p>
        </w:tc>
        <w:tc>
          <w:tcPr>
            <w:tcW w:w="4531" w:type="dxa"/>
          </w:tcPr>
          <w:p w14:paraId="4902530A" w14:textId="77777777" w:rsidR="004631B9" w:rsidRPr="004631B9" w:rsidRDefault="004631B9" w:rsidP="00EA6FBB">
            <w:r w:rsidRPr="004631B9">
              <w:t>Tak (AES-NI)</w:t>
            </w:r>
          </w:p>
        </w:tc>
      </w:tr>
      <w:tr w:rsidR="004631B9" w:rsidRPr="004631B9" w14:paraId="5122BBC0" w14:textId="77777777" w:rsidTr="004631B9">
        <w:tc>
          <w:tcPr>
            <w:tcW w:w="4531" w:type="dxa"/>
          </w:tcPr>
          <w:p w14:paraId="09BEFB73" w14:textId="77777777" w:rsidR="004631B9" w:rsidRPr="004631B9" w:rsidRDefault="004631B9" w:rsidP="00EA6FBB">
            <w:r w:rsidRPr="004631B9">
              <w:t>Transkodowanie wspomagane sprzętowo</w:t>
            </w:r>
          </w:p>
        </w:tc>
        <w:tc>
          <w:tcPr>
            <w:tcW w:w="4531" w:type="dxa"/>
          </w:tcPr>
          <w:p w14:paraId="7EC11A81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04601852" w14:textId="77777777" w:rsidTr="004631B9">
        <w:tc>
          <w:tcPr>
            <w:tcW w:w="4531" w:type="dxa"/>
          </w:tcPr>
          <w:p w14:paraId="3C899C60" w14:textId="1EFF988C" w:rsidR="004631B9" w:rsidRPr="004631B9" w:rsidRDefault="00D82802" w:rsidP="00EA6FBB">
            <w:r>
              <w:t>Zainstalowana p</w:t>
            </w:r>
            <w:r w:rsidR="004631B9" w:rsidRPr="004631B9">
              <w:t>amięć systemowa</w:t>
            </w:r>
          </w:p>
        </w:tc>
        <w:tc>
          <w:tcPr>
            <w:tcW w:w="4531" w:type="dxa"/>
          </w:tcPr>
          <w:p w14:paraId="0640F0BC" w14:textId="77777777" w:rsidR="004631B9" w:rsidRPr="004631B9" w:rsidRDefault="004631B9" w:rsidP="00EA6FBB">
            <w:r w:rsidRPr="004631B9">
              <w:t>Nie mniej niż 64 GB UDIMM DDR5 (2x 32 GB)</w:t>
            </w:r>
          </w:p>
        </w:tc>
      </w:tr>
      <w:tr w:rsidR="004631B9" w:rsidRPr="004631B9" w14:paraId="388DF1A9" w14:textId="77777777" w:rsidTr="004631B9">
        <w:tc>
          <w:tcPr>
            <w:tcW w:w="4531" w:type="dxa"/>
          </w:tcPr>
          <w:p w14:paraId="7591A1DB" w14:textId="77777777" w:rsidR="004631B9" w:rsidRPr="004631B9" w:rsidRDefault="004631B9" w:rsidP="00EA6FBB">
            <w:r w:rsidRPr="004631B9">
              <w:t>Maksymalna pojemność pamięci</w:t>
            </w:r>
          </w:p>
        </w:tc>
        <w:tc>
          <w:tcPr>
            <w:tcW w:w="4531" w:type="dxa"/>
          </w:tcPr>
          <w:p w14:paraId="6EFB44DE" w14:textId="77777777" w:rsidR="004631B9" w:rsidRPr="004631B9" w:rsidRDefault="004631B9" w:rsidP="00EA6FBB">
            <w:r w:rsidRPr="004631B9">
              <w:t>192 GB (4 x 48 GB)</w:t>
            </w:r>
          </w:p>
        </w:tc>
      </w:tr>
      <w:tr w:rsidR="004631B9" w:rsidRPr="004631B9" w14:paraId="60B3BE48" w14:textId="77777777" w:rsidTr="004631B9">
        <w:tc>
          <w:tcPr>
            <w:tcW w:w="4531" w:type="dxa"/>
          </w:tcPr>
          <w:p w14:paraId="387CA15C" w14:textId="77777777" w:rsidR="004631B9" w:rsidRPr="004631B9" w:rsidRDefault="004631B9" w:rsidP="00EA6FBB">
            <w:r w:rsidRPr="004631B9">
              <w:t>Gniazdo pamięci</w:t>
            </w:r>
          </w:p>
        </w:tc>
        <w:tc>
          <w:tcPr>
            <w:tcW w:w="4531" w:type="dxa"/>
          </w:tcPr>
          <w:p w14:paraId="20470C68" w14:textId="77777777" w:rsidR="004631B9" w:rsidRPr="004631B9" w:rsidRDefault="004631B9" w:rsidP="00EA6FBB">
            <w:r w:rsidRPr="004631B9">
              <w:t>4 x UDIMM DDR5</w:t>
            </w:r>
          </w:p>
        </w:tc>
      </w:tr>
      <w:tr w:rsidR="004631B9" w:rsidRPr="004631B9" w14:paraId="2DC1A99D" w14:textId="77777777" w:rsidTr="004631B9">
        <w:tc>
          <w:tcPr>
            <w:tcW w:w="4531" w:type="dxa"/>
          </w:tcPr>
          <w:p w14:paraId="6A97BB74" w14:textId="242BD78C" w:rsidR="004631B9" w:rsidRPr="004631B9" w:rsidRDefault="004631B9" w:rsidP="00EA6FBB">
            <w:r w:rsidRPr="004631B9">
              <w:t>Ws</w:t>
            </w:r>
            <w:r w:rsidR="00D82802">
              <w:t>parcie dla</w:t>
            </w:r>
            <w:r w:rsidRPr="004631B9">
              <w:t xml:space="preserve"> opcjonaln</w:t>
            </w:r>
            <w:r w:rsidR="00D82802">
              <w:t>ej</w:t>
            </w:r>
            <w:r w:rsidRPr="004631B9">
              <w:t xml:space="preserve"> pamię</w:t>
            </w:r>
            <w:r w:rsidR="00D82802">
              <w:t>ci</w:t>
            </w:r>
            <w:r w:rsidRPr="004631B9">
              <w:t xml:space="preserve"> ECC</w:t>
            </w:r>
          </w:p>
        </w:tc>
        <w:tc>
          <w:tcPr>
            <w:tcW w:w="4531" w:type="dxa"/>
          </w:tcPr>
          <w:p w14:paraId="59FF2F2D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1C007F48" w14:textId="77777777" w:rsidTr="004631B9">
        <w:tc>
          <w:tcPr>
            <w:tcW w:w="4531" w:type="dxa"/>
          </w:tcPr>
          <w:p w14:paraId="7994C4D2" w14:textId="77777777" w:rsidR="004631B9" w:rsidRPr="004631B9" w:rsidRDefault="004631B9" w:rsidP="00EA6FBB">
            <w:r w:rsidRPr="004631B9">
              <w:t xml:space="preserve">Wbudowana Pamięć </w:t>
            </w:r>
            <w:proofErr w:type="spellStart"/>
            <w:r w:rsidRPr="004631B9">
              <w:t>flash</w:t>
            </w:r>
            <w:proofErr w:type="spellEnd"/>
          </w:p>
        </w:tc>
        <w:tc>
          <w:tcPr>
            <w:tcW w:w="4531" w:type="dxa"/>
          </w:tcPr>
          <w:p w14:paraId="5B4FB5DB" w14:textId="77777777" w:rsidR="004631B9" w:rsidRPr="004631B9" w:rsidRDefault="004631B9" w:rsidP="00EA6FBB">
            <w:r w:rsidRPr="004631B9">
              <w:t>Nie mniej niż 5GB (ochrona systemu operacyjnego przed podwójnym rozruchem)</w:t>
            </w:r>
          </w:p>
        </w:tc>
      </w:tr>
      <w:tr w:rsidR="004631B9" w:rsidRPr="004631B9" w14:paraId="160FFCB1" w14:textId="77777777" w:rsidTr="004631B9">
        <w:tc>
          <w:tcPr>
            <w:tcW w:w="4531" w:type="dxa"/>
          </w:tcPr>
          <w:p w14:paraId="5A1FB623" w14:textId="77777777" w:rsidR="004631B9" w:rsidRPr="004631B9" w:rsidRDefault="004631B9" w:rsidP="00EA6FBB">
            <w:r w:rsidRPr="004631B9">
              <w:t>Wnęka dysków</w:t>
            </w:r>
          </w:p>
        </w:tc>
        <w:tc>
          <w:tcPr>
            <w:tcW w:w="4531" w:type="dxa"/>
          </w:tcPr>
          <w:p w14:paraId="0D9B3369" w14:textId="7B31E6A0" w:rsidR="004631B9" w:rsidRPr="004631B9" w:rsidRDefault="00002564" w:rsidP="00EA6FBB">
            <w:r>
              <w:t xml:space="preserve">Nie mniej niż </w:t>
            </w:r>
            <w:r w:rsidR="004631B9" w:rsidRPr="004631B9">
              <w:t xml:space="preserve">30 </w:t>
            </w:r>
            <w:r>
              <w:t>slotów dla dysków</w:t>
            </w:r>
            <w:r w:rsidR="004631B9" w:rsidRPr="004631B9">
              <w:t xml:space="preserve"> 2,5</w:t>
            </w:r>
            <w:r w:rsidR="003642EC">
              <w:t>”</w:t>
            </w:r>
            <w:r w:rsidR="004631B9" w:rsidRPr="004631B9">
              <w:t xml:space="preserve"> SATA 6Gb/s, 3Gb/s</w:t>
            </w:r>
          </w:p>
        </w:tc>
      </w:tr>
      <w:tr w:rsidR="004631B9" w:rsidRPr="004631B9" w14:paraId="015BA549" w14:textId="77777777" w:rsidTr="004631B9">
        <w:tc>
          <w:tcPr>
            <w:tcW w:w="4531" w:type="dxa"/>
          </w:tcPr>
          <w:p w14:paraId="7E5DD8F4" w14:textId="77777777" w:rsidR="004631B9" w:rsidRPr="004631B9" w:rsidRDefault="004631B9" w:rsidP="00EA6FBB">
            <w:r w:rsidRPr="004631B9">
              <w:t>Kompatybilność dysków</w:t>
            </w:r>
          </w:p>
        </w:tc>
        <w:tc>
          <w:tcPr>
            <w:tcW w:w="4531" w:type="dxa"/>
          </w:tcPr>
          <w:p w14:paraId="715913DB" w14:textId="7555ACBE" w:rsidR="004631B9" w:rsidRPr="004631B9" w:rsidRDefault="004631B9" w:rsidP="00EA6FBB">
            <w:r w:rsidRPr="004631B9">
              <w:t>2,5</w:t>
            </w:r>
            <w:r w:rsidR="003642EC">
              <w:t>”</w:t>
            </w:r>
            <w:r w:rsidRPr="004631B9">
              <w:t xml:space="preserve"> SSD SATA</w:t>
            </w:r>
          </w:p>
        </w:tc>
      </w:tr>
      <w:tr w:rsidR="004631B9" w:rsidRPr="004631B9" w14:paraId="06CE3016" w14:textId="77777777" w:rsidTr="004631B9">
        <w:tc>
          <w:tcPr>
            <w:tcW w:w="4531" w:type="dxa"/>
          </w:tcPr>
          <w:p w14:paraId="33E08436" w14:textId="2DAE8BB7" w:rsidR="004631B9" w:rsidRPr="004631B9" w:rsidRDefault="003642EC" w:rsidP="00EA6FBB">
            <w:r>
              <w:t>Dysk</w:t>
            </w:r>
            <w:r w:rsidR="00002564">
              <w:t>i</w:t>
            </w:r>
            <w:r>
              <w:t xml:space="preserve"> wy</w:t>
            </w:r>
            <w:r w:rsidR="004631B9" w:rsidRPr="004631B9">
              <w:t>mienian</w:t>
            </w:r>
            <w:r w:rsidR="00002564">
              <w:t>e</w:t>
            </w:r>
            <w:r w:rsidR="004631B9" w:rsidRPr="004631B9">
              <w:t xml:space="preserve"> podczas pracy</w:t>
            </w:r>
          </w:p>
        </w:tc>
        <w:tc>
          <w:tcPr>
            <w:tcW w:w="4531" w:type="dxa"/>
          </w:tcPr>
          <w:p w14:paraId="473CE947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6DEDEA1B" w14:textId="77777777" w:rsidTr="004631B9">
        <w:tc>
          <w:tcPr>
            <w:tcW w:w="4531" w:type="dxa"/>
          </w:tcPr>
          <w:p w14:paraId="2F176B59" w14:textId="77777777" w:rsidR="004631B9" w:rsidRPr="004631B9" w:rsidRDefault="004631B9" w:rsidP="00EA6FBB">
            <w:r w:rsidRPr="004631B9">
              <w:t>Obsługa przyspieszenia pamięci podręcznej SSD</w:t>
            </w:r>
          </w:p>
        </w:tc>
        <w:tc>
          <w:tcPr>
            <w:tcW w:w="4531" w:type="dxa"/>
          </w:tcPr>
          <w:p w14:paraId="307E0761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5984C71D" w14:textId="77777777" w:rsidTr="004631B9">
        <w:tc>
          <w:tcPr>
            <w:tcW w:w="4531" w:type="dxa"/>
          </w:tcPr>
          <w:p w14:paraId="5B3AEDCA" w14:textId="77777777" w:rsidR="004631B9" w:rsidRPr="004631B9" w:rsidRDefault="004631B9" w:rsidP="00EA6FBB">
            <w:r w:rsidRPr="004631B9">
              <w:t>GPU pass-</w:t>
            </w:r>
            <w:proofErr w:type="spellStart"/>
            <w:r w:rsidRPr="004631B9">
              <w:t>through</w:t>
            </w:r>
            <w:proofErr w:type="spellEnd"/>
          </w:p>
        </w:tc>
        <w:tc>
          <w:tcPr>
            <w:tcW w:w="4531" w:type="dxa"/>
          </w:tcPr>
          <w:p w14:paraId="7EC15271" w14:textId="77777777" w:rsidR="004631B9" w:rsidRPr="004631B9" w:rsidRDefault="004631B9" w:rsidP="00EA6FBB">
            <w:r w:rsidRPr="004631B9">
              <w:t xml:space="preserve">TAK </w:t>
            </w:r>
          </w:p>
        </w:tc>
      </w:tr>
      <w:tr w:rsidR="004631B9" w:rsidRPr="004631B9" w14:paraId="65389761" w14:textId="77777777" w:rsidTr="004631B9">
        <w:tc>
          <w:tcPr>
            <w:tcW w:w="4531" w:type="dxa"/>
          </w:tcPr>
          <w:p w14:paraId="55D78C5C" w14:textId="77777777" w:rsidR="004631B9" w:rsidRPr="004631B9" w:rsidRDefault="004631B9" w:rsidP="00EA6FBB">
            <w:r w:rsidRPr="004631B9">
              <w:t>Port 2,5 Gigabit Ethernet (2,5G/1G/100M)</w:t>
            </w:r>
          </w:p>
        </w:tc>
        <w:tc>
          <w:tcPr>
            <w:tcW w:w="4531" w:type="dxa"/>
          </w:tcPr>
          <w:p w14:paraId="493083AE" w14:textId="77777777" w:rsidR="004631B9" w:rsidRPr="004631B9" w:rsidRDefault="004631B9" w:rsidP="00EA6FBB">
            <w:r w:rsidRPr="004631B9">
              <w:t>Nie mniej niż 2 porty (2,5G/1G/100M/10M)</w:t>
            </w:r>
          </w:p>
        </w:tc>
      </w:tr>
      <w:tr w:rsidR="004631B9" w:rsidRPr="004631B9" w14:paraId="3D11CC2B" w14:textId="77777777" w:rsidTr="004631B9">
        <w:tc>
          <w:tcPr>
            <w:tcW w:w="4531" w:type="dxa"/>
          </w:tcPr>
          <w:p w14:paraId="47145707" w14:textId="77777777" w:rsidR="004631B9" w:rsidRPr="004631B9" w:rsidRDefault="004631B9" w:rsidP="00EA6FBB">
            <w:r w:rsidRPr="004631B9">
              <w:t>Port 10 Gigabit sieci Ethernet</w:t>
            </w:r>
          </w:p>
        </w:tc>
        <w:tc>
          <w:tcPr>
            <w:tcW w:w="4531" w:type="dxa"/>
          </w:tcPr>
          <w:p w14:paraId="725B8BDF" w14:textId="77777777" w:rsidR="004631B9" w:rsidRPr="004631B9" w:rsidRDefault="004631B9" w:rsidP="00EA6FBB">
            <w:r w:rsidRPr="004631B9">
              <w:t>Nie mniej niż 2 porty  10GBASE-T (10G/5G/2,5G/1G/100M)</w:t>
            </w:r>
          </w:p>
        </w:tc>
      </w:tr>
      <w:tr w:rsidR="004631B9" w:rsidRPr="004631B9" w14:paraId="57D9F94C" w14:textId="77777777" w:rsidTr="004631B9">
        <w:tc>
          <w:tcPr>
            <w:tcW w:w="4531" w:type="dxa"/>
          </w:tcPr>
          <w:p w14:paraId="6ED265A9" w14:textId="60C37603" w:rsidR="004631B9" w:rsidRPr="004631B9" w:rsidRDefault="00D82802" w:rsidP="00EA6FBB">
            <w:r>
              <w:lastRenderedPageBreak/>
              <w:t xml:space="preserve">Obsługa </w:t>
            </w:r>
            <w:r w:rsidR="004631B9" w:rsidRPr="004631B9">
              <w:t>Wake on LAN (WOL)</w:t>
            </w:r>
          </w:p>
        </w:tc>
        <w:tc>
          <w:tcPr>
            <w:tcW w:w="4531" w:type="dxa"/>
          </w:tcPr>
          <w:p w14:paraId="1892EEA5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7F56BFE5" w14:textId="77777777" w:rsidTr="004631B9">
        <w:tc>
          <w:tcPr>
            <w:tcW w:w="4531" w:type="dxa"/>
          </w:tcPr>
          <w:p w14:paraId="603DABC7" w14:textId="02F79D32" w:rsidR="004631B9" w:rsidRPr="004631B9" w:rsidRDefault="00D82802" w:rsidP="00EA6FBB">
            <w:r>
              <w:t>Obsługa r</w:t>
            </w:r>
            <w:r w:rsidR="004631B9" w:rsidRPr="004631B9">
              <w:t>am</w:t>
            </w:r>
            <w:r>
              <w:t>ek</w:t>
            </w:r>
            <w:r w:rsidR="004631B9" w:rsidRPr="004631B9">
              <w:t xml:space="preserve"> Jumbo</w:t>
            </w:r>
          </w:p>
        </w:tc>
        <w:tc>
          <w:tcPr>
            <w:tcW w:w="4531" w:type="dxa"/>
          </w:tcPr>
          <w:p w14:paraId="38F3E2F6" w14:textId="77777777" w:rsidR="004631B9" w:rsidRPr="004631B9" w:rsidRDefault="004631B9" w:rsidP="00EA6FBB">
            <w:r w:rsidRPr="004631B9">
              <w:t>Tak</w:t>
            </w:r>
          </w:p>
        </w:tc>
      </w:tr>
      <w:tr w:rsidR="004631B9" w:rsidRPr="004631B9" w14:paraId="17263AAB" w14:textId="77777777" w:rsidTr="004631B9">
        <w:tc>
          <w:tcPr>
            <w:tcW w:w="4531" w:type="dxa"/>
          </w:tcPr>
          <w:p w14:paraId="3E0CADCD" w14:textId="52C687C6" w:rsidR="004631B9" w:rsidRPr="004631B9" w:rsidRDefault="00D82802" w:rsidP="00EA6FBB">
            <w:r>
              <w:t>Wewnętrzne g</w:t>
            </w:r>
            <w:r w:rsidR="004631B9" w:rsidRPr="004631B9">
              <w:t>niazd</w:t>
            </w:r>
            <w:r>
              <w:t>a</w:t>
            </w:r>
            <w:r w:rsidR="004631B9" w:rsidRPr="004631B9">
              <w:t xml:space="preserve"> </w:t>
            </w:r>
            <w:proofErr w:type="spellStart"/>
            <w:r w:rsidR="004631B9" w:rsidRPr="004631B9">
              <w:t>PCIe</w:t>
            </w:r>
            <w:proofErr w:type="spellEnd"/>
          </w:p>
        </w:tc>
        <w:tc>
          <w:tcPr>
            <w:tcW w:w="4531" w:type="dxa"/>
          </w:tcPr>
          <w:p w14:paraId="077463D3" w14:textId="0F717934" w:rsidR="004631B9" w:rsidRPr="004631B9" w:rsidRDefault="004631B9" w:rsidP="00EA6FBB">
            <w:r w:rsidRPr="004631B9">
              <w:t>3 x Gen 4</w:t>
            </w:r>
          </w:p>
        </w:tc>
      </w:tr>
      <w:tr w:rsidR="004631B9" w:rsidRPr="004631B9" w14:paraId="08B8FA1D" w14:textId="77777777" w:rsidTr="004631B9">
        <w:tc>
          <w:tcPr>
            <w:tcW w:w="4531" w:type="dxa"/>
          </w:tcPr>
          <w:p w14:paraId="30A5819F" w14:textId="77777777" w:rsidR="004631B9" w:rsidRPr="004631B9" w:rsidRDefault="004631B9" w:rsidP="00EA6FBB">
            <w:r w:rsidRPr="004631B9">
              <w:t>Port USB</w:t>
            </w:r>
          </w:p>
        </w:tc>
        <w:tc>
          <w:tcPr>
            <w:tcW w:w="4531" w:type="dxa"/>
          </w:tcPr>
          <w:p w14:paraId="586A7FE3" w14:textId="628DF0E0" w:rsidR="004631B9" w:rsidRPr="004631B9" w:rsidRDefault="004631B9" w:rsidP="00EA6FBB">
            <w:r w:rsidRPr="004631B9">
              <w:t xml:space="preserve">Nie mniej niż  </w:t>
            </w:r>
            <w:r w:rsidR="003642EC">
              <w:t xml:space="preserve">2 porty </w:t>
            </w:r>
            <w:proofErr w:type="spellStart"/>
            <w:r w:rsidRPr="004631B9">
              <w:t>Type</w:t>
            </w:r>
            <w:proofErr w:type="spellEnd"/>
            <w:r w:rsidRPr="004631B9">
              <w:t>-A USB 3.2 Gen 2 10Gbps</w:t>
            </w:r>
          </w:p>
        </w:tc>
      </w:tr>
      <w:tr w:rsidR="004631B9" w:rsidRPr="004631B9" w14:paraId="097B1EA9" w14:textId="77777777" w:rsidTr="004631B9">
        <w:tc>
          <w:tcPr>
            <w:tcW w:w="4531" w:type="dxa"/>
          </w:tcPr>
          <w:p w14:paraId="3B5FEB6C" w14:textId="77777777" w:rsidR="004631B9" w:rsidRPr="004631B9" w:rsidRDefault="004631B9" w:rsidP="00EA6FBB">
            <w:r w:rsidRPr="004631B9">
              <w:t>Wysokość w szafie</w:t>
            </w:r>
          </w:p>
        </w:tc>
        <w:tc>
          <w:tcPr>
            <w:tcW w:w="4531" w:type="dxa"/>
          </w:tcPr>
          <w:p w14:paraId="69D7739C" w14:textId="77777777" w:rsidR="004631B9" w:rsidRPr="004631B9" w:rsidRDefault="004631B9" w:rsidP="00EA6FBB">
            <w:r w:rsidRPr="004631B9">
              <w:t>Nie więcej niż 2U w szafie RACK 19</w:t>
            </w:r>
          </w:p>
        </w:tc>
      </w:tr>
      <w:tr w:rsidR="004631B9" w:rsidRPr="004631B9" w14:paraId="04B17A0A" w14:textId="77777777" w:rsidTr="004631B9">
        <w:tc>
          <w:tcPr>
            <w:tcW w:w="4531" w:type="dxa"/>
          </w:tcPr>
          <w:p w14:paraId="5353FDF4" w14:textId="77777777" w:rsidR="004631B9" w:rsidRPr="004631B9" w:rsidRDefault="004631B9" w:rsidP="00EA6FBB">
            <w:r w:rsidRPr="004631B9">
              <w:t>Wskaźniki LED</w:t>
            </w:r>
          </w:p>
        </w:tc>
        <w:tc>
          <w:tcPr>
            <w:tcW w:w="4531" w:type="dxa"/>
          </w:tcPr>
          <w:p w14:paraId="58425B32" w14:textId="2B93E85D" w:rsidR="004631B9" w:rsidRPr="004631B9" w:rsidRDefault="004631B9" w:rsidP="00EA6FBB">
            <w:r w:rsidRPr="004631B9">
              <w:t xml:space="preserve">Status zasilania, </w:t>
            </w:r>
            <w:r w:rsidR="003642EC">
              <w:t xml:space="preserve">status </w:t>
            </w:r>
            <w:r w:rsidRPr="004631B9">
              <w:t>SSD 1-30, Status</w:t>
            </w:r>
            <w:r w:rsidR="003642EC">
              <w:t xml:space="preserve"> </w:t>
            </w:r>
            <w:r w:rsidRPr="004631B9">
              <w:t>LAN, status portu rozbudowy pamięci</w:t>
            </w:r>
          </w:p>
        </w:tc>
      </w:tr>
      <w:tr w:rsidR="004631B9" w:rsidRPr="004631B9" w14:paraId="3DA79A1F" w14:textId="77777777" w:rsidTr="004631B9">
        <w:tc>
          <w:tcPr>
            <w:tcW w:w="4531" w:type="dxa"/>
          </w:tcPr>
          <w:p w14:paraId="27A38230" w14:textId="0B8EAD75" w:rsidR="004631B9" w:rsidRPr="004631B9" w:rsidRDefault="004631B9" w:rsidP="00EA6FBB">
            <w:r w:rsidRPr="004631B9">
              <w:t>Przyciski</w:t>
            </w:r>
            <w:r w:rsidR="00D82802">
              <w:t xml:space="preserve"> fizyczne</w:t>
            </w:r>
          </w:p>
        </w:tc>
        <w:tc>
          <w:tcPr>
            <w:tcW w:w="4531" w:type="dxa"/>
          </w:tcPr>
          <w:p w14:paraId="46C639E3" w14:textId="77777777" w:rsidR="004631B9" w:rsidRPr="004631B9" w:rsidRDefault="004631B9" w:rsidP="00EA6FBB">
            <w:r w:rsidRPr="004631B9">
              <w:t>Zasilanie, reset</w:t>
            </w:r>
          </w:p>
        </w:tc>
      </w:tr>
      <w:tr w:rsidR="004631B9" w:rsidRPr="004631B9" w14:paraId="32F28E94" w14:textId="77777777" w:rsidTr="004631B9">
        <w:tc>
          <w:tcPr>
            <w:tcW w:w="4531" w:type="dxa"/>
          </w:tcPr>
          <w:p w14:paraId="61D07D3D" w14:textId="77777777" w:rsidR="004631B9" w:rsidRPr="004631B9" w:rsidRDefault="004631B9" w:rsidP="00EA6FBB">
            <w:r w:rsidRPr="004631B9">
              <w:t>Zasilacz</w:t>
            </w:r>
          </w:p>
        </w:tc>
        <w:tc>
          <w:tcPr>
            <w:tcW w:w="4531" w:type="dxa"/>
          </w:tcPr>
          <w:p w14:paraId="16616F2B" w14:textId="6CCE7CF1" w:rsidR="004631B9" w:rsidRPr="004631B9" w:rsidRDefault="00D82802" w:rsidP="00EA6FBB">
            <w:r>
              <w:t>D</w:t>
            </w:r>
            <w:r w:rsidR="00536328" w:rsidRPr="00536328">
              <w:t xml:space="preserve">wa redundantne zasilacze o mocy wyjściowej przynajmniej </w:t>
            </w:r>
            <w:r w:rsidR="004631B9" w:rsidRPr="004631B9">
              <w:t>550W 100-240V</w:t>
            </w:r>
          </w:p>
        </w:tc>
      </w:tr>
      <w:tr w:rsidR="004631B9" w:rsidRPr="004631B9" w14:paraId="3463412D" w14:textId="77777777" w:rsidTr="004631B9">
        <w:tc>
          <w:tcPr>
            <w:tcW w:w="4531" w:type="dxa"/>
          </w:tcPr>
          <w:p w14:paraId="72B6CCCE" w14:textId="77777777" w:rsidR="004631B9" w:rsidRPr="004631B9" w:rsidRDefault="004631B9" w:rsidP="00EA6FBB">
            <w:r w:rsidRPr="004631B9">
              <w:t>Wentylator</w:t>
            </w:r>
          </w:p>
        </w:tc>
        <w:tc>
          <w:tcPr>
            <w:tcW w:w="4531" w:type="dxa"/>
          </w:tcPr>
          <w:p w14:paraId="69DBE814" w14:textId="77777777" w:rsidR="004631B9" w:rsidRPr="004631B9" w:rsidRDefault="004631B9" w:rsidP="00EA6FBB">
            <w:r w:rsidRPr="004631B9">
              <w:t>Wentylator systemu: 3 x 60mm, 12VDC</w:t>
            </w:r>
          </w:p>
        </w:tc>
      </w:tr>
      <w:tr w:rsidR="004631B9" w:rsidRPr="004631B9" w14:paraId="5ED10FE9" w14:textId="77777777" w:rsidTr="004631B9">
        <w:tc>
          <w:tcPr>
            <w:tcW w:w="4531" w:type="dxa"/>
          </w:tcPr>
          <w:p w14:paraId="5EC82321" w14:textId="77777777" w:rsidR="004631B9" w:rsidRPr="004631B9" w:rsidRDefault="004631B9" w:rsidP="00EA6FBB">
            <w:r w:rsidRPr="004631B9">
              <w:t>Ostrzeżenie systemowe</w:t>
            </w:r>
          </w:p>
        </w:tc>
        <w:tc>
          <w:tcPr>
            <w:tcW w:w="4531" w:type="dxa"/>
          </w:tcPr>
          <w:p w14:paraId="3EF88347" w14:textId="36B58044" w:rsidR="004631B9" w:rsidRPr="004631B9" w:rsidRDefault="004631B9" w:rsidP="00EA6FBB">
            <w:r w:rsidRPr="004631B9">
              <w:t>Brzęczyk</w:t>
            </w:r>
          </w:p>
        </w:tc>
      </w:tr>
      <w:tr w:rsidR="004631B9" w:rsidRPr="004631B9" w14:paraId="521F75FD" w14:textId="77777777" w:rsidTr="004631B9">
        <w:tc>
          <w:tcPr>
            <w:tcW w:w="4531" w:type="dxa"/>
          </w:tcPr>
          <w:p w14:paraId="155C44AD" w14:textId="77777777" w:rsidR="004631B9" w:rsidRPr="004631B9" w:rsidRDefault="004631B9" w:rsidP="00EA6FBB">
            <w:r w:rsidRPr="004631B9">
              <w:t>Standardowa gwarancja</w:t>
            </w:r>
          </w:p>
        </w:tc>
        <w:tc>
          <w:tcPr>
            <w:tcW w:w="4531" w:type="dxa"/>
          </w:tcPr>
          <w:p w14:paraId="0FC34AF6" w14:textId="1FD07F10" w:rsidR="004631B9" w:rsidRPr="004631B9" w:rsidRDefault="004631B9" w:rsidP="00EA6FBB">
            <w:r w:rsidRPr="004631B9">
              <w:t>5</w:t>
            </w:r>
            <w:r w:rsidR="005B6C6C">
              <w:t xml:space="preserve"> lat</w:t>
            </w:r>
          </w:p>
        </w:tc>
      </w:tr>
      <w:tr w:rsidR="005B6C6C" w:rsidRPr="004631B9" w14:paraId="232835AC" w14:textId="77777777" w:rsidTr="004631B9">
        <w:tc>
          <w:tcPr>
            <w:tcW w:w="4531" w:type="dxa"/>
          </w:tcPr>
          <w:p w14:paraId="1BDECABD" w14:textId="19AC3327" w:rsidR="005B6C6C" w:rsidRPr="004631B9" w:rsidRDefault="00975BF9" w:rsidP="00EA6FBB">
            <w:r>
              <w:t>Wyposażenie</w:t>
            </w:r>
          </w:p>
        </w:tc>
        <w:tc>
          <w:tcPr>
            <w:tcW w:w="4531" w:type="dxa"/>
          </w:tcPr>
          <w:p w14:paraId="4D1469B5" w14:textId="5A5DE1B8" w:rsidR="005B6C6C" w:rsidRPr="004631B9" w:rsidRDefault="00975BF9" w:rsidP="00EA6FBB">
            <w:r>
              <w:t>Szyny montażowe do szafy RACK</w:t>
            </w:r>
          </w:p>
        </w:tc>
      </w:tr>
      <w:tr w:rsidR="005B6C6C" w:rsidRPr="004631B9" w14:paraId="1087A432" w14:textId="77777777" w:rsidTr="004631B9">
        <w:tc>
          <w:tcPr>
            <w:tcW w:w="4531" w:type="dxa"/>
          </w:tcPr>
          <w:p w14:paraId="5E5066E8" w14:textId="77777777" w:rsidR="005B6C6C" w:rsidRPr="004631B9" w:rsidRDefault="005B6C6C" w:rsidP="00EA6FBB"/>
        </w:tc>
        <w:tc>
          <w:tcPr>
            <w:tcW w:w="4531" w:type="dxa"/>
          </w:tcPr>
          <w:p w14:paraId="4D88B4A9" w14:textId="77777777" w:rsidR="005B6C6C" w:rsidRPr="004631B9" w:rsidRDefault="005B6C6C" w:rsidP="00EA6FBB"/>
        </w:tc>
      </w:tr>
      <w:tr w:rsidR="00D82802" w:rsidRPr="004631B9" w14:paraId="0CFAC8FE" w14:textId="77777777" w:rsidTr="004631B9">
        <w:tc>
          <w:tcPr>
            <w:tcW w:w="4531" w:type="dxa"/>
          </w:tcPr>
          <w:p w14:paraId="7E28ADB4" w14:textId="63B8BA88" w:rsidR="00D82802" w:rsidRPr="004631B9" w:rsidRDefault="00D82802" w:rsidP="00EA6FBB">
            <w:r>
              <w:t>Oprogramowanie</w:t>
            </w:r>
          </w:p>
        </w:tc>
        <w:tc>
          <w:tcPr>
            <w:tcW w:w="4531" w:type="dxa"/>
          </w:tcPr>
          <w:p w14:paraId="799CBC90" w14:textId="77777777" w:rsidR="00D82802" w:rsidRPr="004631B9" w:rsidRDefault="00D82802" w:rsidP="00EA6FBB"/>
        </w:tc>
      </w:tr>
      <w:tr w:rsidR="00D82802" w:rsidRPr="004631B9" w14:paraId="5CC6C4CF" w14:textId="77777777" w:rsidTr="006E0C40">
        <w:tc>
          <w:tcPr>
            <w:tcW w:w="9062" w:type="dxa"/>
            <w:gridSpan w:val="2"/>
          </w:tcPr>
          <w:p w14:paraId="2AFB91CF" w14:textId="77777777" w:rsidR="00D82802" w:rsidRPr="001A0F64" w:rsidRDefault="00D82802" w:rsidP="00D82802">
            <w:pPr>
              <w:jc w:val="both"/>
            </w:pPr>
            <w:r w:rsidRPr="001A0F64">
              <w:t xml:space="preserve">Obsługa oprogramowania QNAP Turbo NAS System (w skrócie QTS) w wersji 4.3.5 lub nowszej, z obsługą RAID 0, 1, 5, 6, 10, 50, 60, dyskami SPARE, skanowanie dysków pod kątem BAD BLOCK i statusu RAID dysków, oprogramowanie kompatybilne z QNAP </w:t>
            </w:r>
            <w:proofErr w:type="spellStart"/>
            <w:r w:rsidRPr="001A0F64">
              <w:t>Hybrid</w:t>
            </w:r>
            <w:proofErr w:type="spellEnd"/>
            <w:r w:rsidRPr="001A0F64">
              <w:t xml:space="preserve"> Backup </w:t>
            </w:r>
            <w:proofErr w:type="spellStart"/>
            <w:r w:rsidRPr="001A0F64">
              <w:t>Sync</w:t>
            </w:r>
            <w:proofErr w:type="spellEnd"/>
            <w:r w:rsidRPr="001A0F64">
              <w:t xml:space="preserve"> i dwustronną synchronizacją i tworzeniem kopii zapasowych, oprogramowaniem QNAP QSYNC, zachowanie funkcjonalności urządzenia redundantnego w stosunku do używanego przez Zamawiającego w wersji 4.3.3 i późniejszych.</w:t>
            </w:r>
          </w:p>
          <w:p w14:paraId="3D96C9C1" w14:textId="77777777" w:rsidR="00D82802" w:rsidRPr="004631B9" w:rsidRDefault="00D82802" w:rsidP="00EA6FBB"/>
        </w:tc>
      </w:tr>
      <w:bookmarkEnd w:id="2"/>
    </w:tbl>
    <w:p w14:paraId="1E19C164" w14:textId="77777777" w:rsidR="009C5C4E" w:rsidRDefault="009C5C4E" w:rsidP="004631B9"/>
    <w:p w14:paraId="5081DA5C" w14:textId="3DCFEF46" w:rsidR="004631B9" w:rsidRDefault="009C5C4E" w:rsidP="004631B9">
      <w:r>
        <w:t xml:space="preserve">DYSKI TWARDE </w:t>
      </w:r>
    </w:p>
    <w:p w14:paraId="65D58A28" w14:textId="77777777" w:rsidR="009C5C4E" w:rsidRDefault="009C5C4E" w:rsidP="009C5C4E">
      <w:r>
        <w:t xml:space="preserve">22 sztuki dysków </w:t>
      </w:r>
      <w:r w:rsidRPr="005B6C6C">
        <w:t xml:space="preserve">7.68TB 2.5" SSD SATA 6G Read </w:t>
      </w:r>
      <w:proofErr w:type="spellStart"/>
      <w:r w:rsidRPr="005B6C6C">
        <w:t>Intensive</w:t>
      </w:r>
      <w:proofErr w:type="spellEnd"/>
      <w:r>
        <w:t>, spełniające w szczególności następujące parametry sprzętowe i funkcjonalne: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6C6C" w:rsidRPr="004631B9" w14:paraId="3F7C516C" w14:textId="77777777" w:rsidTr="00567440">
        <w:tc>
          <w:tcPr>
            <w:tcW w:w="4531" w:type="dxa"/>
          </w:tcPr>
          <w:p w14:paraId="6C18E8F7" w14:textId="62C17511" w:rsidR="005B6C6C" w:rsidRDefault="005B6C6C" w:rsidP="00567440">
            <w:bookmarkStart w:id="3" w:name="_Hlk183107434"/>
            <w:r>
              <w:t>Pojemność</w:t>
            </w:r>
          </w:p>
        </w:tc>
        <w:tc>
          <w:tcPr>
            <w:tcW w:w="4531" w:type="dxa"/>
          </w:tcPr>
          <w:p w14:paraId="12AE3036" w14:textId="7CA1A2D3" w:rsidR="005B6C6C" w:rsidRPr="004631B9" w:rsidRDefault="005B6C6C" w:rsidP="00567440">
            <w:r>
              <w:t>Nie mniej niż 7,68 TB</w:t>
            </w:r>
          </w:p>
        </w:tc>
      </w:tr>
      <w:tr w:rsidR="005B6C6C" w:rsidRPr="004631B9" w14:paraId="4D627F7E" w14:textId="77777777" w:rsidTr="00567440">
        <w:tc>
          <w:tcPr>
            <w:tcW w:w="4531" w:type="dxa"/>
          </w:tcPr>
          <w:p w14:paraId="1F4C72DB" w14:textId="2A5C23B2" w:rsidR="005B6C6C" w:rsidRDefault="005B6C6C" w:rsidP="00567440">
            <w:r>
              <w:t>Interfejs</w:t>
            </w:r>
          </w:p>
        </w:tc>
        <w:tc>
          <w:tcPr>
            <w:tcW w:w="4531" w:type="dxa"/>
          </w:tcPr>
          <w:p w14:paraId="52DEEE22" w14:textId="46AAC3DD" w:rsidR="005B6C6C" w:rsidRPr="004631B9" w:rsidRDefault="005B6C6C" w:rsidP="00567440">
            <w:r>
              <w:t xml:space="preserve">SATA 6 </w:t>
            </w:r>
            <w:proofErr w:type="spellStart"/>
            <w:r>
              <w:t>Gb</w:t>
            </w:r>
            <w:proofErr w:type="spellEnd"/>
            <w:r>
              <w:t>/s SATA III</w:t>
            </w:r>
          </w:p>
        </w:tc>
      </w:tr>
      <w:tr w:rsidR="005B6C6C" w:rsidRPr="004631B9" w14:paraId="6897FB9E" w14:textId="77777777" w:rsidTr="00567440">
        <w:tc>
          <w:tcPr>
            <w:tcW w:w="4531" w:type="dxa"/>
          </w:tcPr>
          <w:p w14:paraId="56C1E940" w14:textId="5F773712" w:rsidR="005B6C6C" w:rsidRDefault="005B6C6C" w:rsidP="00567440">
            <w:r w:rsidRPr="005B6C6C">
              <w:t>Typ pamięci</w:t>
            </w:r>
          </w:p>
        </w:tc>
        <w:tc>
          <w:tcPr>
            <w:tcW w:w="4531" w:type="dxa"/>
          </w:tcPr>
          <w:p w14:paraId="681E2C57" w14:textId="6B17ACFA" w:rsidR="005B6C6C" w:rsidRPr="004631B9" w:rsidRDefault="005B6C6C" w:rsidP="00567440">
            <w:r w:rsidRPr="005B6C6C">
              <w:t>V-NAND TLC</w:t>
            </w:r>
          </w:p>
        </w:tc>
      </w:tr>
      <w:tr w:rsidR="005B6C6C" w:rsidRPr="004631B9" w14:paraId="376F6944" w14:textId="77777777" w:rsidTr="00567440">
        <w:tc>
          <w:tcPr>
            <w:tcW w:w="4531" w:type="dxa"/>
          </w:tcPr>
          <w:p w14:paraId="7F2369E1" w14:textId="0BC8153D" w:rsidR="005B6C6C" w:rsidRDefault="005B6C6C" w:rsidP="00567440">
            <w:r w:rsidRPr="005B6C6C">
              <w:t>Prędkość odczytu z nośnika</w:t>
            </w:r>
          </w:p>
        </w:tc>
        <w:tc>
          <w:tcPr>
            <w:tcW w:w="4531" w:type="dxa"/>
          </w:tcPr>
          <w:p w14:paraId="0CA1D4DA" w14:textId="41762DA3" w:rsidR="005B6C6C" w:rsidRPr="004631B9" w:rsidRDefault="005B6C6C" w:rsidP="00567440">
            <w:r w:rsidRPr="005B6C6C">
              <w:t>550 MB/s</w:t>
            </w:r>
          </w:p>
        </w:tc>
      </w:tr>
      <w:tr w:rsidR="005B6C6C" w:rsidRPr="004631B9" w14:paraId="5B63EA3E" w14:textId="77777777" w:rsidTr="00567440">
        <w:tc>
          <w:tcPr>
            <w:tcW w:w="4531" w:type="dxa"/>
          </w:tcPr>
          <w:p w14:paraId="710C9165" w14:textId="20C12B59" w:rsidR="005B6C6C" w:rsidRPr="005B6C6C" w:rsidRDefault="005B6C6C" w:rsidP="00567440">
            <w:r w:rsidRPr="005B6C6C">
              <w:t>Prędkość zapisu nośnika</w:t>
            </w:r>
          </w:p>
        </w:tc>
        <w:tc>
          <w:tcPr>
            <w:tcW w:w="4531" w:type="dxa"/>
          </w:tcPr>
          <w:p w14:paraId="0A32D6B7" w14:textId="148EB3E7" w:rsidR="005B6C6C" w:rsidRPr="005B6C6C" w:rsidRDefault="005B6C6C" w:rsidP="00567440">
            <w:r w:rsidRPr="005B6C6C">
              <w:t>520 MB/s</w:t>
            </w:r>
          </w:p>
        </w:tc>
      </w:tr>
      <w:tr w:rsidR="00A23AF7" w:rsidRPr="004631B9" w14:paraId="4293DD1B" w14:textId="77777777" w:rsidTr="00567440">
        <w:tc>
          <w:tcPr>
            <w:tcW w:w="4531" w:type="dxa"/>
          </w:tcPr>
          <w:p w14:paraId="2460B956" w14:textId="4F669F25" w:rsidR="00A23AF7" w:rsidRPr="005B6C6C" w:rsidRDefault="00A23AF7" w:rsidP="00A23AF7">
            <w:r>
              <w:t xml:space="preserve">Losowy odczyt (4KB) </w:t>
            </w:r>
          </w:p>
        </w:tc>
        <w:tc>
          <w:tcPr>
            <w:tcW w:w="4531" w:type="dxa"/>
          </w:tcPr>
          <w:p w14:paraId="2DB2E1F9" w14:textId="4F5372C4" w:rsidR="00A23AF7" w:rsidRPr="005B6C6C" w:rsidRDefault="00A23AF7" w:rsidP="00567440">
            <w:r>
              <w:t>98000 IOPS</w:t>
            </w:r>
          </w:p>
        </w:tc>
      </w:tr>
      <w:tr w:rsidR="00A23AF7" w:rsidRPr="004631B9" w14:paraId="29795B17" w14:textId="77777777" w:rsidTr="00567440">
        <w:tc>
          <w:tcPr>
            <w:tcW w:w="4531" w:type="dxa"/>
          </w:tcPr>
          <w:p w14:paraId="22DD8483" w14:textId="6013A83A" w:rsidR="00A23AF7" w:rsidRPr="005B6C6C" w:rsidRDefault="00FC081C" w:rsidP="00FC081C">
            <w:r>
              <w:t xml:space="preserve">Losowy zapis (4KB) </w:t>
            </w:r>
          </w:p>
        </w:tc>
        <w:tc>
          <w:tcPr>
            <w:tcW w:w="4531" w:type="dxa"/>
          </w:tcPr>
          <w:p w14:paraId="27314D90" w14:textId="517DBEF5" w:rsidR="00A23AF7" w:rsidRPr="005B6C6C" w:rsidRDefault="00FC081C" w:rsidP="00567440">
            <w:r w:rsidRPr="00FC081C">
              <w:t>30000 IOPS</w:t>
            </w:r>
          </w:p>
        </w:tc>
      </w:tr>
      <w:tr w:rsidR="005B6C6C" w:rsidRPr="004631B9" w14:paraId="7F7E6954" w14:textId="77777777" w:rsidTr="00567440">
        <w:tc>
          <w:tcPr>
            <w:tcW w:w="4531" w:type="dxa"/>
          </w:tcPr>
          <w:p w14:paraId="6B687E34" w14:textId="2B46F365" w:rsidR="005B6C6C" w:rsidRPr="005B6C6C" w:rsidRDefault="005B6C6C" w:rsidP="00567440">
            <w:r w:rsidRPr="005B6C6C">
              <w:t>Obsługa S.M.A.R.T.</w:t>
            </w:r>
          </w:p>
        </w:tc>
        <w:tc>
          <w:tcPr>
            <w:tcW w:w="4531" w:type="dxa"/>
          </w:tcPr>
          <w:p w14:paraId="22BE743F" w14:textId="4F5D9A13" w:rsidR="005B6C6C" w:rsidRPr="005B6C6C" w:rsidRDefault="005B6C6C" w:rsidP="00567440">
            <w:r>
              <w:t>TAK</w:t>
            </w:r>
          </w:p>
        </w:tc>
      </w:tr>
      <w:tr w:rsidR="005B6C6C" w:rsidRPr="004631B9" w14:paraId="0204E791" w14:textId="77777777" w:rsidTr="00567440">
        <w:tc>
          <w:tcPr>
            <w:tcW w:w="4531" w:type="dxa"/>
          </w:tcPr>
          <w:p w14:paraId="2154F421" w14:textId="1FFA83CB" w:rsidR="005B6C6C" w:rsidRPr="005B6C6C" w:rsidRDefault="005B6C6C" w:rsidP="00567440">
            <w:r w:rsidRPr="005B6C6C">
              <w:t>Wsparcie TRIM</w:t>
            </w:r>
          </w:p>
        </w:tc>
        <w:tc>
          <w:tcPr>
            <w:tcW w:w="4531" w:type="dxa"/>
          </w:tcPr>
          <w:p w14:paraId="53265E85" w14:textId="6BA775C8" w:rsidR="005B6C6C" w:rsidRDefault="005B6C6C" w:rsidP="00567440">
            <w:r>
              <w:t>TAK</w:t>
            </w:r>
          </w:p>
        </w:tc>
      </w:tr>
      <w:tr w:rsidR="005B6C6C" w:rsidRPr="004631B9" w14:paraId="4CE0E790" w14:textId="77777777" w:rsidTr="00567440">
        <w:tc>
          <w:tcPr>
            <w:tcW w:w="4531" w:type="dxa"/>
          </w:tcPr>
          <w:p w14:paraId="74430F15" w14:textId="72856DA2" w:rsidR="005B6C6C" w:rsidRPr="005B6C6C" w:rsidRDefault="005B6C6C" w:rsidP="00567440">
            <w:r w:rsidRPr="005B6C6C">
              <w:t>MTBF (Średni okres międzyawaryjny)</w:t>
            </w:r>
          </w:p>
        </w:tc>
        <w:tc>
          <w:tcPr>
            <w:tcW w:w="4531" w:type="dxa"/>
          </w:tcPr>
          <w:p w14:paraId="4BA67B9C" w14:textId="5ACDFC94" w:rsidR="005B6C6C" w:rsidRDefault="005B6C6C" w:rsidP="00567440">
            <w:r>
              <w:t xml:space="preserve">Nie mniej niż </w:t>
            </w:r>
            <w:r w:rsidRPr="005B6C6C">
              <w:t>2000000 h</w:t>
            </w:r>
          </w:p>
        </w:tc>
      </w:tr>
      <w:tr w:rsidR="00A23AF7" w:rsidRPr="004631B9" w14:paraId="6206343F" w14:textId="77777777" w:rsidTr="00567440">
        <w:tc>
          <w:tcPr>
            <w:tcW w:w="4531" w:type="dxa"/>
          </w:tcPr>
          <w:p w14:paraId="165A461C" w14:textId="51B32022" w:rsidR="00A23AF7" w:rsidRPr="005B6C6C" w:rsidRDefault="00A23AF7" w:rsidP="00567440">
            <w:r>
              <w:t>Szyfrowanie</w:t>
            </w:r>
          </w:p>
        </w:tc>
        <w:tc>
          <w:tcPr>
            <w:tcW w:w="4531" w:type="dxa"/>
          </w:tcPr>
          <w:p w14:paraId="204068EE" w14:textId="26086C25" w:rsidR="00A23AF7" w:rsidRDefault="00A23AF7" w:rsidP="00567440">
            <w:r w:rsidRPr="00A23AF7">
              <w:t xml:space="preserve">AES 256-bit Full Disk </w:t>
            </w:r>
            <w:proofErr w:type="spellStart"/>
            <w:r w:rsidRPr="00A23AF7">
              <w:t>Encryption</w:t>
            </w:r>
            <w:proofErr w:type="spellEnd"/>
            <w:r w:rsidRPr="00A23AF7">
              <w:t xml:space="preserve">, TCG/Opal V2.0, </w:t>
            </w:r>
            <w:proofErr w:type="spellStart"/>
            <w:r w:rsidRPr="00A23AF7">
              <w:t>Encrypted</w:t>
            </w:r>
            <w:proofErr w:type="spellEnd"/>
            <w:r w:rsidRPr="00A23AF7">
              <w:t xml:space="preserve"> Drive(IEEE1667)</w:t>
            </w:r>
          </w:p>
        </w:tc>
      </w:tr>
      <w:tr w:rsidR="00A23AF7" w:rsidRPr="004631B9" w14:paraId="3B243548" w14:textId="77777777" w:rsidTr="00567440">
        <w:tc>
          <w:tcPr>
            <w:tcW w:w="4531" w:type="dxa"/>
          </w:tcPr>
          <w:p w14:paraId="083D4FA6" w14:textId="42A5520D" w:rsidR="00A23AF7" w:rsidRPr="005B6C6C" w:rsidRDefault="00A23AF7" w:rsidP="00567440">
            <w:r>
              <w:t xml:space="preserve">Gwarancja </w:t>
            </w:r>
          </w:p>
        </w:tc>
        <w:tc>
          <w:tcPr>
            <w:tcW w:w="4531" w:type="dxa"/>
          </w:tcPr>
          <w:p w14:paraId="33255B16" w14:textId="15E9CEBB" w:rsidR="00A23AF7" w:rsidRDefault="00A23AF7" w:rsidP="00567440">
            <w:r>
              <w:t>Nie mniej niż 5 lat</w:t>
            </w:r>
          </w:p>
        </w:tc>
      </w:tr>
    </w:tbl>
    <w:bookmarkEnd w:id="3"/>
    <w:p w14:paraId="51F63944" w14:textId="4C6CB43C" w:rsidR="00975BF9" w:rsidRDefault="00247017" w:rsidP="00975BF9">
      <w:r>
        <w:t>Sprzęt musi pochodzić z oficjalnego kanału dystrybucyjnego dla Polski. (Zamawiający zastrzega sobie możliwość weryfikacji dostawy u producenta)</w:t>
      </w:r>
    </w:p>
    <w:p w14:paraId="0A5A7CA6" w14:textId="77777777" w:rsidR="00247017" w:rsidRDefault="00247017" w:rsidP="00975BF9"/>
    <w:p w14:paraId="6EFE3BA7" w14:textId="2DC74D89" w:rsidR="00975BF9" w:rsidRDefault="00975BF9" w:rsidP="00DF2474">
      <w:pPr>
        <w:pStyle w:val="Nagwek2"/>
      </w:pPr>
      <w:r>
        <w:lastRenderedPageBreak/>
        <w:t>4. GWARANCJA I SERWIS:</w:t>
      </w:r>
    </w:p>
    <w:p w14:paraId="2A4374AC" w14:textId="77777777" w:rsidR="00975BF9" w:rsidRDefault="00975BF9" w:rsidP="00975BF9">
      <w:r>
        <w:t>Wszystkie komponenty dostarczonego systemu objęte są pełnym serwisem gwarancyjnym umożliwiającym:</w:t>
      </w:r>
    </w:p>
    <w:p w14:paraId="78DFBFD3" w14:textId="082BF0E2" w:rsidR="00975BF9" w:rsidRDefault="00975BF9" w:rsidP="00975BF9">
      <w:r>
        <w:t>a) Urządzenie:</w:t>
      </w:r>
    </w:p>
    <w:p w14:paraId="3ACEFD96" w14:textId="77777777" w:rsidR="00975BF9" w:rsidRDefault="00975BF9" w:rsidP="00975BF9">
      <w:r>
        <w:t>Gwarancja: producenta 5 lat, obejmuje dostarczenie urządzenia o parametrach nie gorszych na czas naprawy gwarancyjnej – możliwość pobierania aktualizacji, wysyłkę urządzenia zastępczego o parametrach nie gorszych od podstawowego w trybie NBD</w:t>
      </w:r>
    </w:p>
    <w:p w14:paraId="31E327C1" w14:textId="222F38FD" w:rsidR="00975BF9" w:rsidRDefault="00975BF9" w:rsidP="00975BF9">
      <w:pPr>
        <w:pStyle w:val="Akapitzlist"/>
        <w:numPr>
          <w:ilvl w:val="0"/>
          <w:numId w:val="7"/>
        </w:numPr>
      </w:pPr>
      <w:r>
        <w:t>Wymianę uszkodzonych komponentów w trybie NBD</w:t>
      </w:r>
    </w:p>
    <w:p w14:paraId="7278DCCB" w14:textId="0867ED4F" w:rsidR="00975BF9" w:rsidRDefault="00975BF9" w:rsidP="00975BF9">
      <w:pPr>
        <w:pStyle w:val="Akapitzlist"/>
        <w:numPr>
          <w:ilvl w:val="0"/>
          <w:numId w:val="7"/>
        </w:numPr>
      </w:pPr>
      <w:r>
        <w:t>Wysyłkę elementów zastępczych umożliwiających pracę systemu do czasu usunięcia awarii przed odesłaniem komponentu uszkodzonego</w:t>
      </w:r>
    </w:p>
    <w:p w14:paraId="21BB551A" w14:textId="684F5503" w:rsidR="00975BF9" w:rsidRDefault="00975BF9" w:rsidP="00975BF9">
      <w:pPr>
        <w:pStyle w:val="Akapitzlist"/>
        <w:numPr>
          <w:ilvl w:val="0"/>
          <w:numId w:val="7"/>
        </w:numPr>
      </w:pPr>
      <w:r>
        <w:t xml:space="preserve">Pełne wsparcie producenta w zakresie pobierania nowych wersji oprogramowania, zgłaszania zauważonych błędów, możliwość zakładania </w:t>
      </w:r>
      <w:proofErr w:type="spellStart"/>
      <w:r>
        <w:t>ticketów</w:t>
      </w:r>
      <w:proofErr w:type="spellEnd"/>
      <w:r>
        <w:t xml:space="preserve"> (zgłoszeń) problemowych i wsparcie producenta w ich rozwiązywaniu – przez cały okres trwania wsparcia</w:t>
      </w:r>
    </w:p>
    <w:p w14:paraId="1ED853F0" w14:textId="20B729B2" w:rsidR="005B6C6C" w:rsidRDefault="00975BF9" w:rsidP="00975BF9">
      <w:r>
        <w:t>System ma być dostarczony w formie kompletnej wcześniej zmontowany i uruchomiony przez dostawcę, celem sprawdzenia poprawności działania komponentów. Na czas transportu dopuszcza się wyjęcie dysków twardych</w:t>
      </w:r>
    </w:p>
    <w:p w14:paraId="29B3766B" w14:textId="510F07BF" w:rsidR="00975BF9" w:rsidRDefault="00975BF9" w:rsidP="00975BF9">
      <w:r>
        <w:t>b</w:t>
      </w:r>
      <w:r w:rsidRPr="00975BF9">
        <w:t>) Dyski twarde – 5 lat gwarancji producenta wymiana do 5 dni roboczych od daty zgłoszenia awarii</w:t>
      </w:r>
    </w:p>
    <w:p w14:paraId="0E197441" w14:textId="5765A402" w:rsidR="00DF2474" w:rsidRDefault="00DF2474" w:rsidP="00DF2474"/>
    <w:sectPr w:rsidR="00DF24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FA3B" w14:textId="77777777" w:rsidR="003732F4" w:rsidRDefault="003732F4" w:rsidP="00373164">
      <w:pPr>
        <w:spacing w:after="0" w:line="240" w:lineRule="auto"/>
      </w:pPr>
      <w:r>
        <w:separator/>
      </w:r>
    </w:p>
  </w:endnote>
  <w:endnote w:type="continuationSeparator" w:id="0">
    <w:p w14:paraId="6BD6448D" w14:textId="77777777" w:rsidR="003732F4" w:rsidRDefault="003732F4" w:rsidP="0037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23F1A" w14:textId="77777777" w:rsidR="003732F4" w:rsidRDefault="003732F4" w:rsidP="00373164">
      <w:pPr>
        <w:spacing w:after="0" w:line="240" w:lineRule="auto"/>
      </w:pPr>
      <w:r>
        <w:separator/>
      </w:r>
    </w:p>
  </w:footnote>
  <w:footnote w:type="continuationSeparator" w:id="0">
    <w:p w14:paraId="5AE5E6AF" w14:textId="77777777" w:rsidR="003732F4" w:rsidRDefault="003732F4" w:rsidP="0037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C5CD" w14:textId="24106177" w:rsidR="00373164" w:rsidRDefault="0037316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77D285" wp14:editId="46D40C50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6202680" cy="565150"/>
          <wp:effectExtent l="0" t="0" r="7620" b="6350"/>
          <wp:wrapSquare wrapText="largest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06BB"/>
    <w:multiLevelType w:val="hybridMultilevel"/>
    <w:tmpl w:val="A9746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2826"/>
    <w:multiLevelType w:val="multilevel"/>
    <w:tmpl w:val="D5AA8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7A40"/>
    <w:multiLevelType w:val="hybridMultilevel"/>
    <w:tmpl w:val="65AABB40"/>
    <w:lvl w:ilvl="0" w:tplc="56789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46E4"/>
    <w:multiLevelType w:val="hybridMultilevel"/>
    <w:tmpl w:val="BC70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4D6C"/>
    <w:multiLevelType w:val="hybridMultilevel"/>
    <w:tmpl w:val="BAAC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D5485"/>
    <w:multiLevelType w:val="hybridMultilevel"/>
    <w:tmpl w:val="ED3CDF40"/>
    <w:lvl w:ilvl="0" w:tplc="56789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B4021"/>
    <w:multiLevelType w:val="hybridMultilevel"/>
    <w:tmpl w:val="FA8A2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2527">
    <w:abstractNumId w:val="1"/>
  </w:num>
  <w:num w:numId="2" w16cid:durableId="1365860260">
    <w:abstractNumId w:val="4"/>
  </w:num>
  <w:num w:numId="3" w16cid:durableId="471563069">
    <w:abstractNumId w:val="5"/>
  </w:num>
  <w:num w:numId="4" w16cid:durableId="1554659331">
    <w:abstractNumId w:val="6"/>
  </w:num>
  <w:num w:numId="5" w16cid:durableId="1069572418">
    <w:abstractNumId w:val="3"/>
  </w:num>
  <w:num w:numId="6" w16cid:durableId="1322270969">
    <w:abstractNumId w:val="2"/>
  </w:num>
  <w:num w:numId="7" w16cid:durableId="142248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B9"/>
    <w:rsid w:val="00002564"/>
    <w:rsid w:val="0000371D"/>
    <w:rsid w:val="0019427A"/>
    <w:rsid w:val="001B5477"/>
    <w:rsid w:val="001F6DF7"/>
    <w:rsid w:val="00246BD8"/>
    <w:rsid w:val="00247017"/>
    <w:rsid w:val="002A646B"/>
    <w:rsid w:val="002F224B"/>
    <w:rsid w:val="003517F9"/>
    <w:rsid w:val="003642EC"/>
    <w:rsid w:val="00373164"/>
    <w:rsid w:val="003732F4"/>
    <w:rsid w:val="00394999"/>
    <w:rsid w:val="003A324D"/>
    <w:rsid w:val="00400961"/>
    <w:rsid w:val="004631B9"/>
    <w:rsid w:val="00497D4C"/>
    <w:rsid w:val="005232B9"/>
    <w:rsid w:val="00524E02"/>
    <w:rsid w:val="00536328"/>
    <w:rsid w:val="005B6C6C"/>
    <w:rsid w:val="005D3608"/>
    <w:rsid w:val="006E5538"/>
    <w:rsid w:val="00706C70"/>
    <w:rsid w:val="007138D6"/>
    <w:rsid w:val="00744996"/>
    <w:rsid w:val="00855297"/>
    <w:rsid w:val="009225CB"/>
    <w:rsid w:val="00975BF9"/>
    <w:rsid w:val="009C5C4E"/>
    <w:rsid w:val="009D7224"/>
    <w:rsid w:val="00A23AF7"/>
    <w:rsid w:val="00A400E6"/>
    <w:rsid w:val="00AA1533"/>
    <w:rsid w:val="00AB244C"/>
    <w:rsid w:val="00BD7C1A"/>
    <w:rsid w:val="00CE7D0E"/>
    <w:rsid w:val="00D12475"/>
    <w:rsid w:val="00D82802"/>
    <w:rsid w:val="00D977E7"/>
    <w:rsid w:val="00DE2D3A"/>
    <w:rsid w:val="00DF2474"/>
    <w:rsid w:val="00E86954"/>
    <w:rsid w:val="00ED3373"/>
    <w:rsid w:val="00F04A38"/>
    <w:rsid w:val="00F845D8"/>
    <w:rsid w:val="00FC081C"/>
    <w:rsid w:val="00F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BD4E"/>
  <w15:chartTrackingRefBased/>
  <w15:docId w15:val="{B08F8513-13ED-4AD8-9438-C19B9B5A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6328"/>
    <w:pPr>
      <w:ind w:left="720"/>
      <w:contextualSpacing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F2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2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2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2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2B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7C1A"/>
    <w:pPr>
      <w:spacing w:after="0" w:line="240" w:lineRule="auto"/>
    </w:pPr>
  </w:style>
  <w:style w:type="table" w:customStyle="1" w:styleId="TableNormal">
    <w:name w:val="Table Normal"/>
    <w:rsid w:val="003731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qFormat/>
    <w:rsid w:val="00373164"/>
  </w:style>
  <w:style w:type="character" w:customStyle="1" w:styleId="Hyperlink3">
    <w:name w:val="Hyperlink.3"/>
    <w:rsid w:val="00373164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373164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3731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164"/>
  </w:style>
  <w:style w:type="paragraph" w:styleId="Stopka">
    <w:name w:val="footer"/>
    <w:basedOn w:val="Normalny"/>
    <w:link w:val="StopkaZnak"/>
    <w:uiPriority w:val="99"/>
    <w:unhideWhenUsed/>
    <w:rsid w:val="0037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Domagala</dc:creator>
  <cp:keywords/>
  <dc:description/>
  <cp:lastModifiedBy>Magdalena JK</cp:lastModifiedBy>
  <cp:revision>2</cp:revision>
  <dcterms:created xsi:type="dcterms:W3CDTF">2024-11-25T11:48:00Z</dcterms:created>
  <dcterms:modified xsi:type="dcterms:W3CDTF">2024-11-25T11:48:00Z</dcterms:modified>
</cp:coreProperties>
</file>