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0E139F">
        <w:rPr>
          <w:rFonts w:ascii="Calibri" w:hAnsi="Calibri" w:cs="Calibri"/>
          <w:b/>
          <w:sz w:val="22"/>
          <w:szCs w:val="22"/>
        </w:rPr>
        <w:t>1</w:t>
      </w:r>
      <w:r w:rsidR="00D36BAA">
        <w:rPr>
          <w:rFonts w:ascii="Calibri" w:hAnsi="Calibri" w:cs="Calibri"/>
          <w:b/>
          <w:sz w:val="22"/>
          <w:szCs w:val="22"/>
        </w:rPr>
        <w:t>4</w:t>
      </w:r>
      <w:r w:rsidR="005D0EAE">
        <w:rPr>
          <w:rFonts w:ascii="Calibri" w:hAnsi="Calibri" w:cs="Calibri"/>
          <w:b/>
          <w:sz w:val="22"/>
          <w:szCs w:val="22"/>
        </w:rPr>
        <w:t>.03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5D0EAE">
        <w:rPr>
          <w:rFonts w:ascii="Calibri" w:hAnsi="Calibri" w:cs="Calibri"/>
          <w:b/>
          <w:sz w:val="22"/>
          <w:szCs w:val="22"/>
        </w:rPr>
        <w:t>1</w:t>
      </w:r>
      <w:r w:rsidR="0058026A">
        <w:rPr>
          <w:rFonts w:ascii="Calibri" w:hAnsi="Calibri" w:cs="Calibri"/>
          <w:b/>
          <w:sz w:val="22"/>
          <w:szCs w:val="22"/>
        </w:rPr>
        <w:t>7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>Dotyczy</w:t>
      </w:r>
      <w:r w:rsidR="005D0EAE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5D0EA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Dostawa sprzętu laboratoryjnego i </w:t>
      </w:r>
      <w:r w:rsidR="0058026A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zamraż</w:t>
      </w:r>
      <w:r w:rsidR="00350DAD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ar</w:t>
      </w:r>
      <w:r w:rsidR="0058026A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ki w 4 </w:t>
      </w:r>
      <w:r w:rsidR="005D0EA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pakietach dla Gdańskiego Uniwersytetu Medycznego. </w:t>
      </w:r>
      <w:r w:rsidR="005D0EA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350DAD" w:rsidRPr="00350DAD" w:rsidRDefault="00350DAD" w:rsidP="00D36B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Prosimy o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modyfikację zapisów § 6 w taki sposób, aby wysokość kary umownej naliczana była od wartości netto a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nie brutto. VAT jest należnością publicznoprawną, którą wykonawca jest zobowiązany odprowadzić do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urzędu skarbowego. Ponadto sama kwota podatku VAT wliczona do ceny oferty nie ma wpływu na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korzyści</w:t>
      </w:r>
      <w:r w:rsidR="00D36BA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ekonomiczne osiągane przez wykonawcę z tytułu wykonania zamówienia.</w:t>
      </w:r>
    </w:p>
    <w:p w:rsidR="003F4ABA" w:rsidRDefault="003F4ABA" w:rsidP="00350D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2E372C" w:rsidRDefault="00D36BA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2E372C">
        <w:rPr>
          <w:rFonts w:ascii="Calibri" w:eastAsiaTheme="minorHAnsi" w:hAnsi="Calibri" w:cs="Calibri"/>
          <w:sz w:val="20"/>
          <w:szCs w:val="20"/>
          <w:lang w:eastAsia="en-US"/>
        </w:rPr>
        <w:t>Zamawiający wyraża zgod</w:t>
      </w:r>
      <w:r w:rsidR="00D25D86" w:rsidRPr="002E372C">
        <w:rPr>
          <w:rFonts w:ascii="Calibri" w:eastAsiaTheme="minorHAnsi" w:hAnsi="Calibri" w:cs="Calibri"/>
          <w:sz w:val="20"/>
          <w:szCs w:val="20"/>
          <w:lang w:eastAsia="en-US"/>
        </w:rPr>
        <w:t xml:space="preserve">ę. </w:t>
      </w:r>
      <w:r w:rsidRPr="002E372C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350DAD" w:rsidRDefault="00350DAD" w:rsidP="00350DAD">
      <w:pPr>
        <w:autoSpaceDE w:val="0"/>
        <w:autoSpaceDN w:val="0"/>
        <w:adjustRightInd w:val="0"/>
        <w:jc w:val="both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W związku z tym iż zgodnie art. 431 ustawy PZP zarówno wykonawca jak i Zamawiający obowiązani są współdziałać przy wykonywaniu umowy w cel</w:t>
      </w:r>
      <w:bookmarkStart w:id="0" w:name="_GoBack"/>
      <w:bookmarkEnd w:id="0"/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u należytej realizacji zamówienia Wykonawca zwraca się z wnioskiem do Zamawiającego o zmianę zapisów projektu umowy w §6 pkt 1c, mając na względzie zgodną z prawem i równorzędną relację łączącą Zamawiającego z Wykonawcą na: Zamawiający zapłaci Wykonawcy kary umowne za: odstąpienie od umowy lub jej rozwiązanie z powodu okoliczności, za które odpowiada Zamawiający, w wysokości 10 % wartości netto umowy. Wskazany zapis jest istotny dla należytej realizacji zamówienia publicznego oraz współpracy pomiędzy Zamawiający a Wykonawcą. W stosunkach cywilnoprawnych bardzo ważna jest równowaga pomiędzy obiema stronami umowy oraz wzajemne kształtowanie jej postanowień w granicach zasady swobody umów (art. 3531 KC), pozwalające na uznanie wykonawcy za partnera, szanujące jego podstawowe prawa i pozwalające na zrównoważone i partnerskie relacje między zamawiającym i wykonawcą</w:t>
      </w: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.</w:t>
      </w:r>
    </w:p>
    <w:p w:rsidR="004F057C" w:rsidRDefault="004F057C" w:rsidP="00350DAD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7D1647" w:rsidRPr="002E372C" w:rsidRDefault="007D1647" w:rsidP="007D164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2E372C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wyraża zgodę.  </w:t>
      </w:r>
    </w:p>
    <w:p w:rsidR="00350DAD" w:rsidRPr="00350DAD" w:rsidRDefault="00350DAD" w:rsidP="00350DAD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62D4">
        <w:rPr>
          <w:rFonts w:asciiTheme="minorHAnsi" w:hAnsiTheme="minorHAnsi" w:cstheme="minorHAnsi"/>
          <w:b/>
          <w:bCs/>
          <w:sz w:val="20"/>
          <w:szCs w:val="20"/>
        </w:rPr>
        <w:t>Pytanie 3</w:t>
      </w:r>
    </w:p>
    <w:p w:rsidR="00350DAD" w:rsidRDefault="00350DAD" w:rsidP="00350D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Dotyczy Pakiet nr 4: Zwracamy się z uprzejmą prośbą o zmianę terminu dostawy przedmiotu umowy w pakiecie nr 4 z 56 dni na 80 dni od dnia zawarcia umowy. Niniejsza prośba wynika z faktu, iż przedmiot umowy, z uwagi na swoje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właściwości, nie znajduje się na stałe na stanie magazynu żadnego Wykonawcy, w związku z czym spełnienie świadczenia przez Wykonawcę w pierwotnie wskazanym terminie nie jest możliwe. Dodatkowo, z uwagi na obecnie panującą epidemię wirusa SARS-CoV-2 i związane z tym przerwy w produkcji urządzeń jak również Z uwagi na ogólnoświatową sytuację polityczno-gospodarczą spowodowaną działaniami zbrojnymi rozpoczętymi w ostatnich dniach na terenie Ukrainy oraz konieczność sprowadzenia urządzenia z zagranicy, terminy produkcji urządzeń i ich dostaw uległy wydłużeniu. W konsekwencji Wykonawca zwraca się wnioskiem o dostosowanie i urealnienie terminu dostawy w sposób wskazany powyżej. Na marginesie Wykonawca </w:t>
      </w:r>
      <w:r w:rsidRPr="00350DA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lastRenderedPageBreak/>
        <w:t>nadmienia, iż termin dostawy nie stanowi elementu oceny oferty, a jego modyfikacja może przełożyć się jedynie na poszerzenie kręgu wykonawców uczestniczących w postępowaniu. Wykonawca nie chcąc dopuścić do opóźnienia w dostawie z przyczyn od nas nie zależnych prosi o wydłużenie terminu realizacji jak na wstępie.</w:t>
      </w:r>
    </w:p>
    <w:p w:rsidR="000E139F" w:rsidRPr="00350DAD" w:rsidRDefault="000E139F" w:rsidP="00350D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0E139F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81766" w:rsidRPr="00081766" w:rsidRDefault="00081766" w:rsidP="00081766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81766">
        <w:rPr>
          <w:rFonts w:asciiTheme="minorHAnsi" w:eastAsiaTheme="minorHAnsi" w:hAnsiTheme="minorHAnsi" w:cstheme="minorBidi"/>
          <w:sz w:val="20"/>
          <w:szCs w:val="20"/>
          <w:lang w:eastAsia="en-US"/>
        </w:rPr>
        <w:t>Zamawiający nie dopuszcza gdyż zależy nam na jak najszybszym dostarczeniu sprzętu do użytkowania.</w:t>
      </w:r>
    </w:p>
    <w:p w:rsidR="006562D4" w:rsidRPr="006E2255" w:rsidRDefault="006562D4" w:rsidP="006562D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2255">
        <w:rPr>
          <w:rFonts w:asciiTheme="minorHAnsi" w:hAnsiTheme="minorHAnsi" w:cstheme="minorHAnsi"/>
          <w:b/>
          <w:bCs/>
          <w:sz w:val="20"/>
          <w:szCs w:val="20"/>
        </w:rPr>
        <w:t>Pytanie 4</w:t>
      </w:r>
    </w:p>
    <w:p w:rsidR="00081766" w:rsidRPr="00081766" w:rsidRDefault="00081766" w:rsidP="000817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otyczy załącznika nr 3 do SIWZ - pakiet 4 Zamawiający w tabelce wskazuje iż „Oświadczamy, że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oferowany powyżej sprzęt jest kompletny i będzie gotowy do użytkowania bez żadnych dodatkowych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zakupów i inwestycji (poza materiałami eksploatacyjnymi)” jednocześnie w opisie przedmiotu zamówienia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nie została zawarta żadna informacja, dotycząca sposobu zarządzania pomiędzy urządzeniami typu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drukarka i urządzenie do przygotowywania skrawków, w związku z powyższym: • Prosimy o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potwierdzenie czy do obsługi drukarki Zamawiający oczekuje dostarczenia komputera do którego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drukarka ma być podpięta za pomocą kabla USB (wymóg punkt 3 dla drukarki)? • Czy Zamawiający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dostarczy komputer we własnym zakresie? • Czy Zamawiający oczekuje dostarczenia drukarki jako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urządzenia niezależnego w przypadku którego projekt etykiety będzie tworzony z poziomu samej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drukarki. Brak takiego doprecyzowania spowoduje iż Zamawiający może otrzymać oferty nie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350DAD"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porównywalne względem siebie, których ocena może być niemożliwa.</w:t>
      </w:r>
    </w:p>
    <w:p w:rsidR="006562D4" w:rsidRPr="006E2255" w:rsidRDefault="006562D4" w:rsidP="00350D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81766" w:rsidRPr="00081766" w:rsidRDefault="00081766" w:rsidP="00081766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81766">
        <w:rPr>
          <w:rFonts w:asciiTheme="minorHAnsi" w:eastAsiaTheme="minorHAnsi" w:hAnsiTheme="minorHAnsi" w:cstheme="minorBidi"/>
          <w:sz w:val="20"/>
          <w:szCs w:val="20"/>
          <w:lang w:eastAsia="en-US"/>
        </w:rPr>
        <w:t>Nie oczekujemy dostarczenia komputera do drukarki- posiadamy sprzęt komputerowy do obsługi urządzenia. Jednocześnie potwierdzamy, że drukarka powinna być obsługiwana z poziomu komputera, z którym będzie połączona. Oznacza to, że Wykonawca jest zobowiązany dostarczyć i zainstalować odpowiednie oprogramowanie do obsługi drukarki oraz przeszkolić Zamawiającego w zakresie obsługi  programu.</w:t>
      </w:r>
    </w:p>
    <w:p w:rsidR="006562D4" w:rsidRPr="006562D4" w:rsidRDefault="006562D4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62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5</w:t>
      </w:r>
    </w:p>
    <w:p w:rsidR="00081766" w:rsidRPr="00081766" w:rsidRDefault="00081766" w:rsidP="007D164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Dotyczy załącznika nr 3 do SWZ - pakiet 4, pozycja 12 Prosimy Zamawiającego o dopuszczenie urządzenia które może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generować poziom hałasu do 60dB (jest to maksymalny poziom przy włączonych wentylatorach oraz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alarmach normalne użytkowanie nie powinno przekroczyć wymaganych 50dB</w:t>
      </w:r>
    </w:p>
    <w:p w:rsidR="006562D4" w:rsidRPr="005D0EAE" w:rsidRDefault="006562D4" w:rsidP="00081766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81766" w:rsidRPr="00081766" w:rsidRDefault="00081766" w:rsidP="0008176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81766">
        <w:rPr>
          <w:rFonts w:asciiTheme="minorHAnsi" w:eastAsiaTheme="minorHAnsi" w:hAnsiTheme="minorHAnsi" w:cstheme="minorBidi"/>
          <w:sz w:val="20"/>
          <w:szCs w:val="20"/>
          <w:lang w:eastAsia="en-US"/>
        </w:rPr>
        <w:t>Zamawiający dopuszcza.</w:t>
      </w:r>
    </w:p>
    <w:p w:rsidR="00081766" w:rsidRPr="00081766" w:rsidRDefault="00081766" w:rsidP="00176B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1766">
        <w:rPr>
          <w:rFonts w:asciiTheme="minorHAnsi" w:hAnsiTheme="minorHAnsi" w:cstheme="minorHAnsi"/>
          <w:b/>
          <w:sz w:val="20"/>
          <w:szCs w:val="20"/>
        </w:rPr>
        <w:t>Pytanie 6</w:t>
      </w:r>
    </w:p>
    <w:p w:rsidR="00081766" w:rsidRPr="00081766" w:rsidRDefault="00081766" w:rsidP="0008176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081766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Dotyczy załącznika nr 3 - Opis przedmiotu zamówienia pakiet 3 1.) Czy Zamawiający zgodzi się na zmianę oceny parametru z "Lp. I Zestaw do elektroforezy poziomej" punkt 12 z parametru wymaganego na parametr punktowany? Prośbę motywujemy chęcią zaofiarowania aparatury do pakietu, która spełnia wszystkie pozostałe wymagania do pakietu.</w:t>
      </w:r>
    </w:p>
    <w:p w:rsidR="00081766" w:rsidRDefault="00081766" w:rsidP="00081766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3443B0" w:rsidRDefault="00AF0049" w:rsidP="0008176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F0049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nie zgadza się na zmianę oceny parametrów w punkcie 12.</w:t>
      </w:r>
    </w:p>
    <w:p w:rsidR="00AF0049" w:rsidRDefault="00AF0049" w:rsidP="0008176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F0049" w:rsidRPr="00AF0049" w:rsidRDefault="00AF0049" w:rsidP="0008176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AF004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7</w:t>
      </w:r>
    </w:p>
    <w:p w:rsidR="00AF0049" w:rsidRDefault="00AF0049" w:rsidP="00AF00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Dotyczy załącznika nr 3- Opis przedmiotu zamówienia pakiet 3, „Lp. I Zestaw do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elektroferezy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poziomej” punkt 12:</w:t>
      </w:r>
    </w:p>
    <w:p w:rsidR="00AF0049" w:rsidRDefault="00AF0049" w:rsidP="00AF00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zaoferowanie aparatu bez możliwości przeprowadzenia elektroforezy na żelach gotowych?</w:t>
      </w:r>
    </w:p>
    <w:p w:rsidR="00AF0049" w:rsidRPr="00AF0049" w:rsidRDefault="00AF0049" w:rsidP="0008176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AF004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AF0049" w:rsidRPr="00AF0049" w:rsidRDefault="00AF0049" w:rsidP="0008176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dopuści aparat bez możliwości używania gotowych żeli. </w:t>
      </w:r>
    </w:p>
    <w:p w:rsidR="00AF0049" w:rsidRDefault="00AF0049" w:rsidP="00081766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F0049" w:rsidRDefault="00AF0049" w:rsidP="00081766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F0049" w:rsidRDefault="00AF0049" w:rsidP="00081766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F0049" w:rsidRDefault="00AF0049" w:rsidP="00081766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F0049" w:rsidRPr="005D0EAE" w:rsidRDefault="00AF0049" w:rsidP="00081766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F0049" w:rsidRDefault="00AF0049" w:rsidP="000E139F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0E139F" w:rsidRPr="00654F5E" w:rsidRDefault="000E139F" w:rsidP="000E139F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Zamawiający informuje o modyfikacji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</w:t>
      </w:r>
      <w:r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załącznika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nr 4- projekt umowy.</w:t>
      </w:r>
    </w:p>
    <w:p w:rsidR="000E139F" w:rsidRPr="00654F5E" w:rsidRDefault="000E139F" w:rsidP="000E139F">
      <w:pPr>
        <w:spacing w:after="200" w:line="276" w:lineRule="auto"/>
        <w:jc w:val="both"/>
        <w:rPr>
          <w:sz w:val="20"/>
          <w:szCs w:val="20"/>
        </w:rPr>
      </w:pPr>
    </w:p>
    <w:p w:rsidR="000E139F" w:rsidRPr="00654F5E" w:rsidRDefault="000E139F" w:rsidP="000E139F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1</w:t>
      </w:r>
      <w:r w:rsidR="00AF0049"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hAnsi="Calibri" w:cs="Calibri"/>
          <w:b/>
          <w:sz w:val="20"/>
          <w:szCs w:val="20"/>
        </w:rPr>
        <w:t>.03.2022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 w:rsidR="00AF0049">
        <w:rPr>
          <w:rFonts w:ascii="Calibri" w:hAnsi="Calibri" w:cs="Calibri"/>
          <w:b/>
          <w:sz w:val="20"/>
          <w:szCs w:val="20"/>
        </w:rPr>
        <w:t>21</w:t>
      </w:r>
      <w:r>
        <w:rPr>
          <w:rFonts w:ascii="Calibri" w:hAnsi="Calibri" w:cs="Calibri"/>
          <w:b/>
          <w:sz w:val="20"/>
          <w:szCs w:val="20"/>
        </w:rPr>
        <w:t>.03.2022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0E139F" w:rsidRPr="00654F5E" w:rsidRDefault="000E139F" w:rsidP="000E139F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0E139F" w:rsidRPr="00654F5E" w:rsidRDefault="000E139F" w:rsidP="000E139F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0E139F" w:rsidRPr="00654F5E" w:rsidRDefault="000E139F" w:rsidP="000E139F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050B4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2E372C">
        <w:rPr>
          <w:rFonts w:ascii="Calibri" w:hAnsi="Calibri" w:cs="Calibri"/>
          <w:bCs/>
          <w:i/>
          <w:sz w:val="20"/>
          <w:szCs w:val="20"/>
        </w:rPr>
        <w:t>/-/</w:t>
      </w:r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AF0049" w:rsidRDefault="00AF0049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6B" w:rsidRDefault="009A786B" w:rsidP="000A396A">
      <w:r>
        <w:separator/>
      </w:r>
    </w:p>
  </w:endnote>
  <w:endnote w:type="continuationSeparator" w:id="0">
    <w:p w:rsidR="009A786B" w:rsidRDefault="009A786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6B" w:rsidRDefault="009A786B" w:rsidP="000A396A">
      <w:r>
        <w:separator/>
      </w:r>
    </w:p>
  </w:footnote>
  <w:footnote w:type="continuationSeparator" w:id="0">
    <w:p w:rsidR="009A786B" w:rsidRDefault="009A786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57F44"/>
    <w:rsid w:val="00081766"/>
    <w:rsid w:val="000A396A"/>
    <w:rsid w:val="000C48DE"/>
    <w:rsid w:val="000E139F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372C"/>
    <w:rsid w:val="002E425A"/>
    <w:rsid w:val="002F4718"/>
    <w:rsid w:val="0031725C"/>
    <w:rsid w:val="003443B0"/>
    <w:rsid w:val="00350DAD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026A"/>
    <w:rsid w:val="005862F3"/>
    <w:rsid w:val="005B3219"/>
    <w:rsid w:val="005C132E"/>
    <w:rsid w:val="005D0EAE"/>
    <w:rsid w:val="005D6C67"/>
    <w:rsid w:val="005E23AA"/>
    <w:rsid w:val="00614B08"/>
    <w:rsid w:val="00615D95"/>
    <w:rsid w:val="00654F5E"/>
    <w:rsid w:val="006562D4"/>
    <w:rsid w:val="006844FD"/>
    <w:rsid w:val="006A4DF5"/>
    <w:rsid w:val="006A6E63"/>
    <w:rsid w:val="006B31D5"/>
    <w:rsid w:val="006C33C3"/>
    <w:rsid w:val="006D5C8C"/>
    <w:rsid w:val="006D6827"/>
    <w:rsid w:val="006D7D77"/>
    <w:rsid w:val="006E2255"/>
    <w:rsid w:val="0070085E"/>
    <w:rsid w:val="00715BD4"/>
    <w:rsid w:val="00720B00"/>
    <w:rsid w:val="0072504B"/>
    <w:rsid w:val="0074728D"/>
    <w:rsid w:val="00784374"/>
    <w:rsid w:val="007B78CF"/>
    <w:rsid w:val="007D1647"/>
    <w:rsid w:val="007E6C76"/>
    <w:rsid w:val="007F72F1"/>
    <w:rsid w:val="0085187E"/>
    <w:rsid w:val="00853664"/>
    <w:rsid w:val="008563A7"/>
    <w:rsid w:val="008710E1"/>
    <w:rsid w:val="008A05F9"/>
    <w:rsid w:val="008B47B3"/>
    <w:rsid w:val="008B5D4D"/>
    <w:rsid w:val="008C39AE"/>
    <w:rsid w:val="008E0ED6"/>
    <w:rsid w:val="008F4BE9"/>
    <w:rsid w:val="00904FD2"/>
    <w:rsid w:val="00921BB4"/>
    <w:rsid w:val="0094319E"/>
    <w:rsid w:val="009A69DE"/>
    <w:rsid w:val="009A786B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AF0049"/>
    <w:rsid w:val="00B01810"/>
    <w:rsid w:val="00B31E84"/>
    <w:rsid w:val="00B46966"/>
    <w:rsid w:val="00B676E4"/>
    <w:rsid w:val="00B77CC9"/>
    <w:rsid w:val="00B844A3"/>
    <w:rsid w:val="00B870DA"/>
    <w:rsid w:val="00BA4DE5"/>
    <w:rsid w:val="00BB3E83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25D86"/>
    <w:rsid w:val="00D36BAA"/>
    <w:rsid w:val="00D46DD9"/>
    <w:rsid w:val="00D56FDE"/>
    <w:rsid w:val="00DC46E4"/>
    <w:rsid w:val="00E02042"/>
    <w:rsid w:val="00E31392"/>
    <w:rsid w:val="00E4349A"/>
    <w:rsid w:val="00E46E56"/>
    <w:rsid w:val="00E60550"/>
    <w:rsid w:val="00EA3AF2"/>
    <w:rsid w:val="00EB25F3"/>
    <w:rsid w:val="00ED0CE1"/>
    <w:rsid w:val="00ED6B09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7F65E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8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5</cp:revision>
  <cp:lastPrinted>2022-03-14T10:48:00Z</cp:lastPrinted>
  <dcterms:created xsi:type="dcterms:W3CDTF">2022-03-11T14:03:00Z</dcterms:created>
  <dcterms:modified xsi:type="dcterms:W3CDTF">2022-03-14T10:54:00Z</dcterms:modified>
</cp:coreProperties>
</file>