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296C" w14:textId="77777777" w:rsidR="00190A9C" w:rsidRDefault="00190A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601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FCE4F" w14:textId="363E260D" w:rsidR="00190A9C" w:rsidRDefault="002561E8" w:rsidP="005619F1">
            <w:pPr>
              <w:adjustRightInd w:val="0"/>
              <w:jc w:val="center"/>
            </w:pPr>
            <w:r w:rsidRPr="00435C66">
              <w:rPr>
                <w:rFonts w:ascii="Cambria" w:hAnsi="Cambria" w:cs="Cambria"/>
              </w:rPr>
              <w:t xml:space="preserve">PN </w:t>
            </w:r>
            <w:r w:rsidR="005619F1">
              <w:rPr>
                <w:rFonts w:ascii="Cambria" w:hAnsi="Cambria" w:cs="Cambria"/>
              </w:rPr>
              <w:t>6</w:t>
            </w:r>
            <w:r>
              <w:rPr>
                <w:rFonts w:ascii="Cambria" w:hAnsi="Cambria" w:cs="Cambria"/>
              </w:rPr>
              <w:t xml:space="preserve">7/24 </w:t>
            </w:r>
            <w:r w:rsidRPr="00435C66">
              <w:rPr>
                <w:rFonts w:ascii="Cambria" w:hAnsi="Cambria" w:cs="Cambria"/>
              </w:rPr>
              <w:t xml:space="preserve"> DOSTAWA </w:t>
            </w:r>
            <w:r w:rsidR="005619F1">
              <w:rPr>
                <w:rFonts w:ascii="Cambria" w:hAnsi="Cambria" w:cs="Cambria"/>
              </w:rPr>
              <w:t>ŚRODKÓW DO DEZYNFEKCJI</w:t>
            </w: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73BE6254" w:rsidR="00190A9C" w:rsidRPr="002561E8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2561E8">
              <w:rPr>
                <w:rFonts w:ascii="Arial" w:hAnsi="Arial" w:cs="Arial"/>
                <w:b/>
                <w:bCs/>
              </w:rPr>
              <w:t xml:space="preserve">PN </w:t>
            </w:r>
            <w:r w:rsidR="005619F1">
              <w:rPr>
                <w:rFonts w:ascii="Arial" w:hAnsi="Arial" w:cs="Arial"/>
                <w:b/>
                <w:bCs/>
              </w:rPr>
              <w:t>6</w:t>
            </w:r>
            <w:r w:rsidR="002561E8" w:rsidRPr="002561E8">
              <w:rPr>
                <w:rFonts w:ascii="Arial" w:hAnsi="Arial" w:cs="Arial"/>
                <w:b/>
                <w:bCs/>
              </w:rPr>
              <w:t>7/24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Jeżeli poświadczenie wpisu do wykazu lub wydania zaświadczenia jest dostępne w formie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FCE1446" w14:textId="77777777" w:rsidR="00190A9C" w:rsidRDefault="00190A9C">
      <w:pPr>
        <w:pStyle w:val="Standard"/>
        <w:pageBreakBefore/>
        <w:spacing w:after="160"/>
        <w:rPr>
          <w:rFonts w:ascii="Arial" w:hAnsi="Arial" w:cs="Arial"/>
          <w:b/>
          <w:sz w:val="20"/>
          <w:szCs w:val="20"/>
        </w:rPr>
      </w:pPr>
    </w:p>
    <w:p w14:paraId="0FEC8DB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4F349A7" w14:textId="77777777" w:rsidR="00190A9C" w:rsidRDefault="00190A9C">
      <w:pPr>
        <w:pStyle w:val="Standard"/>
        <w:pageBreakBefore/>
      </w:pPr>
    </w:p>
    <w:p w14:paraId="245D509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dotycząca zadowalającego wykonania i rezultatu w odniesieniu do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6ACA545A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812B0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4812B0">
        <w:rPr>
          <w:rFonts w:ascii="Arial" w:hAnsi="Arial" w:cs="Arial"/>
          <w:i/>
          <w:sz w:val="18"/>
          <w:szCs w:val="18"/>
        </w:rPr>
        <w:t>Dzienniku Urzędowym Unii Europejskiej</w:t>
      </w:r>
      <w:r w:rsidRPr="004812B0">
        <w:rPr>
          <w:rFonts w:ascii="Arial" w:hAnsi="Arial" w:cs="Arial"/>
          <w:sz w:val="18"/>
          <w:szCs w:val="18"/>
        </w:rPr>
        <w:t>, numer referencyjny)].</w:t>
      </w:r>
    </w:p>
    <w:p w14:paraId="6F130265" w14:textId="77777777" w:rsidR="00190A9C" w:rsidRPr="004812B0" w:rsidRDefault="009A0F22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20B0500000000000000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>iepełnosprawnych lub defaworyzowanych.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2008/841/WSiSW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525BA" w14:textId="3EE86743" w:rsidR="002561E8" w:rsidRDefault="002561E8" w:rsidP="002561E8">
    <w:pPr>
      <w:adjustRightInd w:val="0"/>
      <w:jc w:val="center"/>
      <w:rPr>
        <w:rFonts w:ascii="Times New Roman" w:eastAsia="NSimSun" w:hAnsi="Times New Roman" w:cs="Times New Roman"/>
      </w:rPr>
    </w:pPr>
    <w:r w:rsidRPr="00435C66">
      <w:rPr>
        <w:rFonts w:ascii="Cambria" w:hAnsi="Cambria" w:cs="Cambria"/>
      </w:rPr>
      <w:t xml:space="preserve">PN </w:t>
    </w:r>
    <w:r w:rsidR="005619F1">
      <w:rPr>
        <w:rFonts w:ascii="Cambria" w:hAnsi="Cambria" w:cs="Cambria"/>
      </w:rPr>
      <w:t>6</w:t>
    </w:r>
    <w:r>
      <w:rPr>
        <w:rFonts w:ascii="Cambria" w:hAnsi="Cambria" w:cs="Cambria"/>
      </w:rPr>
      <w:t xml:space="preserve">7/24 </w:t>
    </w:r>
    <w:r w:rsidRPr="00435C66">
      <w:rPr>
        <w:rFonts w:ascii="Cambria" w:hAnsi="Cambria" w:cs="Cambria"/>
      </w:rPr>
      <w:t xml:space="preserve"> DOSTAWA </w:t>
    </w:r>
    <w:r w:rsidR="005619F1">
      <w:rPr>
        <w:rFonts w:ascii="Cambria" w:hAnsi="Cambria" w:cs="Cambria"/>
      </w:rPr>
      <w:t>ŚRODKÓW DO DEZYNFEKCJI</w:t>
    </w:r>
  </w:p>
  <w:p w14:paraId="45227092" w14:textId="77777777" w:rsidR="002561E8" w:rsidRDefault="002561E8">
    <w:pPr>
      <w:pStyle w:val="Textbody"/>
      <w:spacing w:after="0" w:line="100" w:lineRule="atLeast"/>
      <w:jc w:val="righ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Default="009A0F22">
    <w:pPr>
      <w:pStyle w:val="Textbody"/>
      <w:spacing w:after="0" w:line="100" w:lineRule="atLeast"/>
      <w:jc w:val="right"/>
    </w:pPr>
    <w:r>
      <w:rPr>
        <w:rFonts w:ascii="Arial" w:hAnsi="Arial"/>
        <w:b/>
        <w:bCs/>
        <w:color w:val="000000"/>
        <w:sz w:val="20"/>
        <w:szCs w:val="2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5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190A9C"/>
    <w:rsid w:val="002561E8"/>
    <w:rsid w:val="004812B0"/>
    <w:rsid w:val="005619F1"/>
    <w:rsid w:val="005708E0"/>
    <w:rsid w:val="006C15C6"/>
    <w:rsid w:val="009A0F22"/>
    <w:rsid w:val="009E737E"/>
    <w:rsid w:val="00E27625"/>
    <w:rsid w:val="00E7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4476</Words>
  <Characters>26857</Characters>
  <Application>Microsoft Office Word</Application>
  <DocSecurity>0</DocSecurity>
  <Lines>223</Lines>
  <Paragraphs>62</Paragraphs>
  <ScaleCrop>false</ScaleCrop>
  <Company/>
  <LinksUpToDate>false</LinksUpToDate>
  <CharactersWithSpaces>31271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Elwira Stołba</cp:lastModifiedBy>
  <cp:revision>6</cp:revision>
  <cp:lastPrinted>2022-03-22T12:50:00Z</cp:lastPrinted>
  <dcterms:created xsi:type="dcterms:W3CDTF">2023-12-13T12:33:00Z</dcterms:created>
  <dcterms:modified xsi:type="dcterms:W3CDTF">2024-08-19T10:27:00Z</dcterms:modified>
</cp:coreProperties>
</file>