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8C2D4" w14:textId="656EE08F" w:rsidR="00E83DB4" w:rsidRPr="00E83DB4" w:rsidRDefault="00E83DB4" w:rsidP="00E83DB4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sz w:val="20"/>
          <w:szCs w:val="20"/>
        </w:rPr>
      </w:pPr>
      <w:r w:rsidRPr="00E83DB4">
        <w:rPr>
          <w:rFonts w:ascii="Arial" w:hAnsi="Arial" w:cs="Arial"/>
          <w:b/>
          <w:smallCaps/>
          <w:color w:val="000000"/>
          <w:sz w:val="20"/>
          <w:szCs w:val="20"/>
        </w:rPr>
        <w:t>NZP.26.12.2022(ZP-TP/11)</w:t>
      </w:r>
    </w:p>
    <w:p w14:paraId="59FCC831" w14:textId="5CF72FDB" w:rsidR="00A76230" w:rsidRDefault="00A76230" w:rsidP="00A76230">
      <w:pPr>
        <w:spacing w:after="0"/>
        <w:ind w:right="112"/>
        <w:rPr>
          <w:rFonts w:ascii="Arial" w:hAnsi="Arial" w:cs="Arial"/>
          <w:color w:val="262626" w:themeColor="text1" w:themeTint="D9"/>
          <w:sz w:val="18"/>
          <w:szCs w:val="18"/>
        </w:rPr>
      </w:pPr>
    </w:p>
    <w:p w14:paraId="742968F9" w14:textId="77777777" w:rsidR="00A76230" w:rsidRDefault="00A76230" w:rsidP="00940929">
      <w:pPr>
        <w:spacing w:after="0"/>
        <w:ind w:right="112"/>
        <w:jc w:val="center"/>
        <w:rPr>
          <w:rFonts w:ascii="Arial" w:hAnsi="Arial" w:cs="Arial"/>
          <w:color w:val="262626" w:themeColor="text1" w:themeTint="D9"/>
          <w:sz w:val="18"/>
          <w:szCs w:val="18"/>
        </w:rPr>
      </w:pPr>
    </w:p>
    <w:p w14:paraId="2DF116E0" w14:textId="5198F630" w:rsidR="0028786C" w:rsidRPr="00AD19C6" w:rsidRDefault="00D22419" w:rsidP="00A76230">
      <w:pPr>
        <w:spacing w:after="0"/>
        <w:ind w:left="5664" w:right="112" w:firstLine="708"/>
        <w:jc w:val="center"/>
        <w:rPr>
          <w:rFonts w:ascii="Arial" w:hAnsi="Arial" w:cs="Arial"/>
          <w:color w:val="262626" w:themeColor="text1" w:themeTint="D9"/>
          <w:sz w:val="18"/>
          <w:szCs w:val="18"/>
        </w:rPr>
      </w:pPr>
      <w:r w:rsidRPr="00AD19C6">
        <w:rPr>
          <w:rFonts w:ascii="Arial" w:hAnsi="Arial" w:cs="Arial"/>
          <w:color w:val="262626" w:themeColor="text1" w:themeTint="D9"/>
          <w:sz w:val="18"/>
          <w:szCs w:val="18"/>
        </w:rPr>
        <w:t>Załącznik</w:t>
      </w:r>
      <w:r w:rsidR="0028786C" w:rsidRPr="00AD19C6">
        <w:rPr>
          <w:rFonts w:ascii="Arial" w:hAnsi="Arial" w:cs="Arial"/>
          <w:color w:val="262626" w:themeColor="text1" w:themeTint="D9"/>
          <w:sz w:val="18"/>
          <w:szCs w:val="18"/>
        </w:rPr>
        <w:t xml:space="preserve"> nr </w:t>
      </w:r>
      <w:r>
        <w:rPr>
          <w:rFonts w:ascii="Arial" w:hAnsi="Arial" w:cs="Arial"/>
          <w:color w:val="262626" w:themeColor="text1" w:themeTint="D9"/>
          <w:sz w:val="18"/>
          <w:szCs w:val="18"/>
        </w:rPr>
        <w:t xml:space="preserve">1  </w:t>
      </w:r>
      <w:r w:rsidR="0028786C" w:rsidRPr="00AD19C6">
        <w:rPr>
          <w:rFonts w:ascii="Arial" w:hAnsi="Arial" w:cs="Arial"/>
          <w:color w:val="262626" w:themeColor="text1" w:themeTint="D9"/>
          <w:sz w:val="18"/>
          <w:szCs w:val="18"/>
        </w:rPr>
        <w:t>do SWZ</w:t>
      </w:r>
    </w:p>
    <w:p w14:paraId="552059E6" w14:textId="77777777" w:rsidR="0028786C" w:rsidRPr="00AD19C6" w:rsidRDefault="0028786C" w:rsidP="00940929">
      <w:pPr>
        <w:spacing w:after="0"/>
        <w:ind w:right="112"/>
        <w:jc w:val="center"/>
        <w:rPr>
          <w:rFonts w:ascii="Arial" w:hAnsi="Arial" w:cs="Arial"/>
          <w:color w:val="262626" w:themeColor="text1" w:themeTint="D9"/>
          <w:sz w:val="18"/>
          <w:szCs w:val="18"/>
        </w:rPr>
      </w:pPr>
    </w:p>
    <w:p w14:paraId="79BC533A" w14:textId="150753A3" w:rsidR="004B6872" w:rsidRPr="00A76230" w:rsidRDefault="00053A80" w:rsidP="00A76230">
      <w:pPr>
        <w:pStyle w:val="Nagwek2"/>
      </w:pPr>
      <w:r w:rsidRPr="00A76230">
        <w:t>O</w:t>
      </w:r>
      <w:r w:rsidR="004B6872" w:rsidRPr="00A76230">
        <w:t>PIS PRZEDMIOTU ZAMÓWIENIA</w:t>
      </w:r>
    </w:p>
    <w:p w14:paraId="506C3F26" w14:textId="77777777" w:rsidR="0075158F" w:rsidRPr="00AD19C6" w:rsidRDefault="0075158F" w:rsidP="00940929">
      <w:pPr>
        <w:spacing w:after="0"/>
        <w:ind w:right="112"/>
        <w:jc w:val="center"/>
        <w:rPr>
          <w:rFonts w:ascii="Arial" w:hAnsi="Arial" w:cs="Arial"/>
          <w:color w:val="262626" w:themeColor="text1" w:themeTint="D9"/>
          <w:sz w:val="18"/>
          <w:szCs w:val="18"/>
        </w:rPr>
      </w:pPr>
    </w:p>
    <w:p w14:paraId="2D65F820" w14:textId="3BECAFD4" w:rsidR="004B6872" w:rsidRPr="00AD19C6" w:rsidRDefault="004B6872" w:rsidP="00940929">
      <w:pPr>
        <w:spacing w:after="0"/>
        <w:ind w:right="112"/>
        <w:rPr>
          <w:rFonts w:ascii="Arial" w:hAnsi="Arial" w:cs="Arial"/>
          <w:color w:val="262626" w:themeColor="text1" w:themeTint="D9"/>
          <w:sz w:val="18"/>
          <w:szCs w:val="18"/>
        </w:rPr>
      </w:pPr>
    </w:p>
    <w:p w14:paraId="288D9950" w14:textId="77777777" w:rsidR="00AD19C6" w:rsidRPr="00AD19C6" w:rsidRDefault="00AD19C6" w:rsidP="00940929">
      <w:pPr>
        <w:pStyle w:val="Akapitzlist"/>
        <w:numPr>
          <w:ilvl w:val="0"/>
          <w:numId w:val="2"/>
        </w:numPr>
        <w:spacing w:after="0"/>
        <w:ind w:right="112"/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 w:rsidRPr="00AD19C6">
        <w:rPr>
          <w:rFonts w:ascii="Arial" w:hAnsi="Arial" w:cs="Arial"/>
          <w:sz w:val="20"/>
          <w:szCs w:val="20"/>
        </w:rPr>
        <w:t xml:space="preserve">Przedmiotem zamówienia jest dostawa </w:t>
      </w:r>
      <w:proofErr w:type="spellStart"/>
      <w:r w:rsidRPr="00AD19C6">
        <w:rPr>
          <w:rFonts w:ascii="Arial" w:hAnsi="Arial" w:cs="Arial"/>
          <w:color w:val="262626" w:themeColor="text1" w:themeTint="D9"/>
          <w:sz w:val="20"/>
          <w:szCs w:val="20"/>
        </w:rPr>
        <w:t>Spektometru</w:t>
      </w:r>
      <w:proofErr w:type="spellEnd"/>
      <w:r w:rsidRPr="00AD19C6">
        <w:rPr>
          <w:rFonts w:ascii="Arial" w:hAnsi="Arial" w:cs="Arial"/>
          <w:color w:val="262626" w:themeColor="text1" w:themeTint="D9"/>
          <w:sz w:val="20"/>
          <w:szCs w:val="20"/>
        </w:rPr>
        <w:t xml:space="preserve"> FTIR przystosowanego do pracy techniką ATR oraz DRIFT wyposażonego w bibliotekę widm bursztynowych do siedziby Zamawiającego. </w:t>
      </w:r>
    </w:p>
    <w:p w14:paraId="5B3F4A2F" w14:textId="77777777" w:rsidR="00AD19C6" w:rsidRPr="00AD19C6" w:rsidRDefault="00AD19C6" w:rsidP="00940929">
      <w:pPr>
        <w:pStyle w:val="Akapitzlist"/>
        <w:numPr>
          <w:ilvl w:val="0"/>
          <w:numId w:val="2"/>
        </w:numPr>
        <w:spacing w:after="0"/>
        <w:ind w:right="112"/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 w:rsidRPr="00AD19C6">
        <w:rPr>
          <w:rFonts w:ascii="Arial" w:hAnsi="Arial" w:cs="Arial"/>
          <w:color w:val="262626" w:themeColor="text1" w:themeTint="D9"/>
          <w:sz w:val="20"/>
          <w:szCs w:val="20"/>
        </w:rPr>
        <w:t>Dostarczany sprzęt musi być nowy i nieużywany oraz pochodzić z aktualnych linii produktowych.</w:t>
      </w:r>
    </w:p>
    <w:p w14:paraId="260DC8CA" w14:textId="77777777" w:rsidR="00AD19C6" w:rsidRPr="00AD19C6" w:rsidRDefault="00AD19C6" w:rsidP="00940929">
      <w:pPr>
        <w:pStyle w:val="Akapitzlist"/>
        <w:numPr>
          <w:ilvl w:val="0"/>
          <w:numId w:val="2"/>
        </w:numPr>
        <w:spacing w:after="0"/>
        <w:ind w:right="112"/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 w:rsidRPr="00AD19C6">
        <w:rPr>
          <w:rFonts w:ascii="Arial" w:hAnsi="Arial" w:cs="Arial"/>
          <w:color w:val="262626" w:themeColor="text1" w:themeTint="D9"/>
          <w:sz w:val="20"/>
          <w:szCs w:val="20"/>
        </w:rPr>
        <w:t>Sprzęt nie może być wyprodukowany wcześniej niż 12 miesięcy przed datą dostawy.</w:t>
      </w:r>
    </w:p>
    <w:p w14:paraId="79DCAD71" w14:textId="77777777" w:rsidR="00AD19C6" w:rsidRPr="00AD19C6" w:rsidRDefault="00AD19C6" w:rsidP="00940929">
      <w:pPr>
        <w:pStyle w:val="Akapitzlist"/>
        <w:numPr>
          <w:ilvl w:val="0"/>
          <w:numId w:val="2"/>
        </w:numPr>
        <w:spacing w:after="0"/>
        <w:ind w:right="112"/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 w:rsidRPr="00AD19C6">
        <w:rPr>
          <w:rFonts w:ascii="Arial" w:hAnsi="Arial" w:cs="Arial"/>
          <w:color w:val="262626" w:themeColor="text1" w:themeTint="D9"/>
          <w:sz w:val="20"/>
          <w:szCs w:val="20"/>
        </w:rPr>
        <w:t>Dokumentacja i instrukcje użytkownika w języku polskim muszą być dostarczone wraz ze sprzętem.</w:t>
      </w:r>
    </w:p>
    <w:p w14:paraId="21F6D3DF" w14:textId="2C7FAFA0" w:rsidR="00AD19C6" w:rsidRPr="00AD19C6" w:rsidRDefault="00AD19C6" w:rsidP="00940929">
      <w:pPr>
        <w:pStyle w:val="Akapitzlist"/>
        <w:numPr>
          <w:ilvl w:val="0"/>
          <w:numId w:val="2"/>
        </w:numPr>
        <w:tabs>
          <w:tab w:val="left" w:pos="426"/>
        </w:tabs>
        <w:spacing w:before="120" w:after="120" w:line="240" w:lineRule="auto"/>
        <w:ind w:right="112"/>
        <w:jc w:val="both"/>
        <w:rPr>
          <w:rFonts w:ascii="Arial" w:hAnsi="Arial" w:cs="Arial"/>
          <w:bCs/>
          <w:sz w:val="20"/>
          <w:szCs w:val="20"/>
        </w:rPr>
      </w:pPr>
      <w:r w:rsidRPr="00AD19C6">
        <w:rPr>
          <w:rFonts w:ascii="Arial" w:hAnsi="Arial" w:cs="Arial"/>
          <w:color w:val="262626" w:themeColor="text1" w:themeTint="D9"/>
          <w:sz w:val="20"/>
          <w:szCs w:val="20"/>
        </w:rPr>
        <w:t xml:space="preserve">Dostarczony sprzęt powinien posiadać Certyfikat CE </w:t>
      </w:r>
    </w:p>
    <w:p w14:paraId="3CF4ABFB" w14:textId="77777777" w:rsidR="00053A80" w:rsidRPr="00AD19C6" w:rsidRDefault="00053A80" w:rsidP="004B6872">
      <w:pPr>
        <w:spacing w:after="0"/>
        <w:jc w:val="both"/>
        <w:rPr>
          <w:rFonts w:ascii="Arial" w:hAnsi="Arial" w:cs="Arial"/>
          <w:b/>
          <w:bCs/>
          <w:color w:val="262626" w:themeColor="text1" w:themeTint="D9"/>
          <w:sz w:val="18"/>
          <w:szCs w:val="18"/>
        </w:rPr>
      </w:pPr>
    </w:p>
    <w:tbl>
      <w:tblPr>
        <w:tblStyle w:val="Tabela-Siatka"/>
        <w:tblW w:w="8359" w:type="dxa"/>
        <w:tblLook w:val="04A0" w:firstRow="1" w:lastRow="0" w:firstColumn="1" w:lastColumn="0" w:noHBand="0" w:noVBand="1"/>
      </w:tblPr>
      <w:tblGrid>
        <w:gridCol w:w="8359"/>
      </w:tblGrid>
      <w:tr w:rsidR="00940929" w:rsidRPr="00AD19C6" w14:paraId="61B73A79" w14:textId="77777777" w:rsidTr="00940929">
        <w:tc>
          <w:tcPr>
            <w:tcW w:w="8359" w:type="dxa"/>
          </w:tcPr>
          <w:p w14:paraId="36699DD2" w14:textId="06F750DB" w:rsidR="00940929" w:rsidRPr="00AD19C6" w:rsidRDefault="00940929" w:rsidP="00940929">
            <w:pPr>
              <w:pStyle w:val="Nagwek1"/>
            </w:pPr>
            <w:r w:rsidRPr="00AD19C6">
              <w:t>Minimalne wymagania Zamawiającego</w:t>
            </w:r>
          </w:p>
        </w:tc>
      </w:tr>
      <w:tr w:rsidR="00940929" w:rsidRPr="00AD19C6" w14:paraId="4D17CBEB" w14:textId="77777777" w:rsidTr="00940929">
        <w:tc>
          <w:tcPr>
            <w:tcW w:w="8359" w:type="dxa"/>
          </w:tcPr>
          <w:p w14:paraId="4D4B294B" w14:textId="56B09539" w:rsidR="00940929" w:rsidRPr="00AD19C6" w:rsidRDefault="00940929" w:rsidP="004B6872">
            <w:pPr>
              <w:jc w:val="both"/>
              <w:rPr>
                <w:rFonts w:ascii="Arial" w:hAnsi="Arial" w:cs="Arial"/>
                <w:b/>
                <w:bCs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b/>
                <w:bCs/>
                <w:color w:val="262626" w:themeColor="text1" w:themeTint="D9"/>
                <w:sz w:val="18"/>
                <w:szCs w:val="18"/>
              </w:rPr>
              <w:t>Nazwa:</w:t>
            </w:r>
          </w:p>
        </w:tc>
      </w:tr>
      <w:tr w:rsidR="00940929" w:rsidRPr="00AD19C6" w14:paraId="013B7588" w14:textId="77777777" w:rsidTr="00940929">
        <w:trPr>
          <w:trHeight w:val="1819"/>
        </w:trPr>
        <w:tc>
          <w:tcPr>
            <w:tcW w:w="8359" w:type="dxa"/>
          </w:tcPr>
          <w:p w14:paraId="6DDD0052" w14:textId="77777777" w:rsidR="00940929" w:rsidRPr="00AD19C6" w:rsidRDefault="00940929" w:rsidP="00053A8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Źródło promieniowania: źródło ceramiczne z azotku krzemu na zakres co najmniej 9 600 – 20 cm-1 nie wymagające chłodzenia wodą. Monolityczna konstrukcja zapewniająca brak migracji punktu aktywnego. </w:t>
            </w:r>
          </w:p>
          <w:p w14:paraId="096C82CD" w14:textId="77777777" w:rsidR="00940929" w:rsidRPr="00AD19C6" w:rsidRDefault="00940929" w:rsidP="00053A8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Możliwość rozbudowy o automatyczny 4-pozycyjny układ przełączający:</w:t>
            </w:r>
          </w:p>
          <w:p w14:paraId="6DA126D4" w14:textId="77777777" w:rsidR="00940929" w:rsidRPr="00AD19C6" w:rsidRDefault="00940929" w:rsidP="00053A80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1/ dwa źródła wbudowane; </w:t>
            </w:r>
          </w:p>
          <w:p w14:paraId="0165F422" w14:textId="77777777" w:rsidR="00940929" w:rsidRPr="00AD19C6" w:rsidRDefault="00940929" w:rsidP="00053A80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2/port emisyjny dla źródła zewnętrznego z przejściem przez układ regulacji średnicy wiązki ("J-stop"); </w:t>
            </w:r>
          </w:p>
          <w:p w14:paraId="0D895369" w14:textId="5A5B735F" w:rsidR="00940929" w:rsidRPr="00AD19C6" w:rsidRDefault="00940929" w:rsidP="00053A80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3/ detektor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InGaAs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 do modułu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Ramana</w:t>
            </w:r>
            <w:proofErr w:type="spellEnd"/>
          </w:p>
          <w:p w14:paraId="2B1145CD" w14:textId="77777777" w:rsidR="00940929" w:rsidRPr="00AD19C6" w:rsidRDefault="00940929" w:rsidP="00053A80">
            <w:pPr>
              <w:pStyle w:val="Akapitzlist"/>
              <w:numPr>
                <w:ilvl w:val="0"/>
                <w:numId w:val="1"/>
              </w:numPr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Dzielnik wiązki (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beamsplitter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): Ge/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KBr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 na zakres spektralny nie mniejszy niż 7 800 - 350 cm-1. Możliwość rozbudowy o dodatkowe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beamsplittery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 gwarantujące pokrycie zakresu spektralnego co najmniej 27 000 - 20 cm-1. Automatyczne rozpoznawanie rodzaju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beamsplittera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 przez system. Miejsce na przechowanie 2 zapasowych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beamsplitterów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 wewnątrz aparatu w głównym przedziale optyki – osuszanym i przedmuchiwanym. </w:t>
            </w:r>
          </w:p>
          <w:p w14:paraId="09B931F5" w14:textId="77777777" w:rsidR="00940929" w:rsidRPr="00AD19C6" w:rsidRDefault="00940929" w:rsidP="00053A8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Możliwość rozbudowy na miejscu u użytkownika o automatyczny zmieniacz 3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beamsplitterów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 kompatybilny z dzielnikami używanymi bez zmieniacza. </w:t>
            </w:r>
          </w:p>
          <w:p w14:paraId="20BE28DF" w14:textId="77777777" w:rsidR="00940929" w:rsidRPr="00AD19C6" w:rsidRDefault="00940929" w:rsidP="00053A8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Detektor: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DLaTGS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 z okienkiem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KBr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 na zakres co najmniej 12 000 - 350 cm-1 </w:t>
            </w:r>
          </w:p>
          <w:p w14:paraId="3A32B493" w14:textId="77777777" w:rsidR="00940929" w:rsidRPr="00AD19C6" w:rsidRDefault="00940929" w:rsidP="00053A8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Możliwość rozbudowy o trójpozycyjny automatyczny układ zmiany detektorów</w:t>
            </w:r>
          </w:p>
          <w:p w14:paraId="464642C5" w14:textId="77777777" w:rsidR="00940929" w:rsidRPr="00AD19C6" w:rsidRDefault="00940929" w:rsidP="00053A8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System obsługujący maksymalnie co najmniej 5 wbudowanych, automatycznie przełączanych detektorów</w:t>
            </w:r>
          </w:p>
          <w:p w14:paraId="107C5177" w14:textId="77777777" w:rsidR="00940929" w:rsidRPr="00AD19C6" w:rsidRDefault="00940929" w:rsidP="00053A8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Zdolność rozdzielcza lepsza niż 0.09 cm-1 (pomiar szerokości połówkowej pasma CO)</w:t>
            </w:r>
          </w:p>
          <w:p w14:paraId="0C4E0A2A" w14:textId="77777777" w:rsidR="00940929" w:rsidRPr="00AD19C6" w:rsidRDefault="00940929" w:rsidP="00053A8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Interferometr Michelsona 90º, nie wymagający zasilania sprężonym powietrzem, odporny na wibracje i wpływ zmian temperaturowych, justowany dynamicznie w trakcie skanowania z częstotliwością odpowiadającą częstotliwości przejść przez zero sygnału lasera nawet przy maksymalnej szybkości skanowania; mechanizm dynamicznego justowania wykorzystujący wiązkę lasera He-Ne, padającą na trójpozycyjny detektor laserowy, do monitorowania i utrzymywania idealnego względnego położenia kątowego zwierciadeł interferometru; </w:t>
            </w:r>
          </w:p>
          <w:p w14:paraId="28E8AF1F" w14:textId="77777777" w:rsidR="00940929" w:rsidRPr="00AD19C6" w:rsidRDefault="00940929" w:rsidP="00053A8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System automatycznego rozpoznawania z poziomu oprogramowania akcesoriów (co najmniej: ATR –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Golden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Gate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,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Miracle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,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SplitPea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, DRITFS,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Specular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Reflectance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, PAS) oraz elementów systemu takich jak detektory i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beamsplittery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.</w:t>
            </w:r>
          </w:p>
          <w:p w14:paraId="01930524" w14:textId="77777777" w:rsidR="00940929" w:rsidRPr="00AD19C6" w:rsidRDefault="00940929" w:rsidP="00053A8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Możliwość rozbudowy na dalsze zakresy spektralne (zakres maksymalny nie gorszy niż 27 000 - 15 cm-1) i do pracy z technikami łączonymi: GC/IR, TG/IR, FT-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Raman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, mikroskopia IR</w:t>
            </w:r>
          </w:p>
          <w:p w14:paraId="0038F77F" w14:textId="77777777" w:rsidR="00940929" w:rsidRPr="00AD19C6" w:rsidRDefault="00940929" w:rsidP="00053A8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Skanowanie liniowe z szybkością regulowaną w zakresie co najmniej 0.16 - 6.2 cm/s</w:t>
            </w:r>
          </w:p>
          <w:p w14:paraId="247B6635" w14:textId="77777777" w:rsidR="00940929" w:rsidRPr="00AD19C6" w:rsidRDefault="00940929" w:rsidP="00053A8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Możliwość rozbudowy do skanowania krokowego ("step-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scan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") zarówno z zatrzymaniem lustra (modulacja amplitudy, pomiary czasowo-rozdzielcze) jak z  oscylacją lustra wokół zatrzymanej pozycji (modulacja fazy - w tym pomiary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fotoakustyczne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 z profilowaniem w głąb próbki) oraz z modulacją wielokrotną</w:t>
            </w:r>
          </w:p>
          <w:p w14:paraId="2D0CBE88" w14:textId="77777777" w:rsidR="00940929" w:rsidRPr="00AD19C6" w:rsidRDefault="00940929" w:rsidP="00053A8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Apertura regulująca moc wiązki, o powtarzalnej regulacji średnicy w zakresie 0-100% co 1%</w:t>
            </w:r>
          </w:p>
          <w:p w14:paraId="5CF6291E" w14:textId="77777777" w:rsidR="00940929" w:rsidRPr="00AD19C6" w:rsidRDefault="00940929" w:rsidP="00053A8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Elementy układu optycznego montowane stabilnie na ławie optycznej za pomocą kołków pozycjonujących </w:t>
            </w:r>
          </w:p>
          <w:p w14:paraId="6A944933" w14:textId="77777777" w:rsidR="00940929" w:rsidRPr="00AD19C6" w:rsidRDefault="00940929" w:rsidP="00053A8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Monolityczne zwierciadła w układzie optycznym pokrywane złotem</w:t>
            </w:r>
          </w:p>
          <w:p w14:paraId="55C9198B" w14:textId="77777777" w:rsidR="00940929" w:rsidRPr="00AD19C6" w:rsidRDefault="00940929" w:rsidP="00053A8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Możliwość rozbudowy o układ wejścia-wyjście promieniowania obejmujący co najmniej:</w:t>
            </w:r>
          </w:p>
          <w:p w14:paraId="1EE5D88B" w14:textId="51F67390" w:rsidR="00940929" w:rsidRPr="00AD19C6" w:rsidRDefault="00940929" w:rsidP="00B41391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1/ wyprowadzenie wiązki na zewnątrz w prawo</w:t>
            </w:r>
          </w:p>
          <w:p w14:paraId="72B10750" w14:textId="32D16AD6" w:rsidR="00940929" w:rsidRPr="00AD19C6" w:rsidRDefault="00940929" w:rsidP="00B41391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2/ wyprowadzenie wiązki na zewnątrz w lewo</w:t>
            </w:r>
          </w:p>
          <w:p w14:paraId="0C727875" w14:textId="1D6CA6FA" w:rsidR="00940929" w:rsidRPr="00AD19C6" w:rsidRDefault="00940929" w:rsidP="00B41391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3/ wprowadzenie wiązki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skolimowanej</w:t>
            </w:r>
            <w:proofErr w:type="spellEnd"/>
          </w:p>
          <w:p w14:paraId="1E83E5AA" w14:textId="76F74B33" w:rsidR="00940929" w:rsidRPr="00AD19C6" w:rsidRDefault="00940929" w:rsidP="00B41391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4/ wprowadzanie wiązki zogniskowanej przez układ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aperturowania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 wiązki</w:t>
            </w:r>
          </w:p>
          <w:p w14:paraId="450E7756" w14:textId="77777777" w:rsidR="00940929" w:rsidRPr="00AD19C6" w:rsidRDefault="00940929" w:rsidP="00053A8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lastRenderedPageBreak/>
              <w:t xml:space="preserve">Poziom szumów (amplituda międzyszczytowa) nie przekraczający 7.9 x 10-6Abs (sygnał/szum </w:t>
            </w: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 55 000 : 1) dla detektora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DLaTGS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, rozdzielczości 4 cm-1  przy pomiarze 1 min </w:t>
            </w:r>
          </w:p>
          <w:p w14:paraId="5704EA25" w14:textId="77777777" w:rsidR="00940929" w:rsidRPr="00AD19C6" w:rsidRDefault="00940929" w:rsidP="00053A8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Maksymalna szybkość zbierania danych nie gorsza niż 65 skanów/s dla rozdzielczości 16 cm-1 (odstęp danych 8 cm-1) z opcją rozbudowy do co najmniej 90 skanów/s</w:t>
            </w:r>
          </w:p>
          <w:p w14:paraId="7297675A" w14:textId="77777777" w:rsidR="00940929" w:rsidRPr="00AD19C6" w:rsidRDefault="00940929" w:rsidP="00053A8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Układ optyczny szczelny i osuszany z oddzielającymi przedział próbek okienkami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KBr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 z powłoką niehigroskopijną</w:t>
            </w:r>
          </w:p>
          <w:p w14:paraId="3564E6B3" w14:textId="77777777" w:rsidR="00940929" w:rsidRPr="00AD19C6" w:rsidRDefault="00940929" w:rsidP="00053A8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Możliwość rozbudowy o zastępujące okienka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KBr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 automatycznie otwierane/zamykane przesłony między przedziałem próbek a wnętrzem spektrometru</w:t>
            </w:r>
          </w:p>
          <w:p w14:paraId="7AF3365E" w14:textId="77777777" w:rsidR="00940929" w:rsidRPr="00AD19C6" w:rsidRDefault="00940929" w:rsidP="00053A8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Podłączenia do opcjonalnego przedmuchu spektrometru i przedziału próbek osuszonym gazem</w:t>
            </w:r>
          </w:p>
          <w:p w14:paraId="5F79B014" w14:textId="77777777" w:rsidR="00940929" w:rsidRPr="00AD19C6" w:rsidRDefault="00940929" w:rsidP="00053A8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Przyciski do szybkiego uruchomienia pomiaru w poszczególnych modułach pomiarowych</w:t>
            </w:r>
          </w:p>
          <w:p w14:paraId="5A64D9E3" w14:textId="77777777" w:rsidR="00940929" w:rsidRPr="00AD19C6" w:rsidRDefault="00940929" w:rsidP="00053A8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Wbudowana na stałe w aparat automatyczna przystawka do testowania spektrometru z kołem z wzorcami, sterowana z poziomu oprogramowania, zawierająca co najmniej następujące wzorce: </w:t>
            </w:r>
          </w:p>
          <w:p w14:paraId="6A07C582" w14:textId="1889548B" w:rsidR="00940929" w:rsidRPr="00AD19C6" w:rsidRDefault="00940929" w:rsidP="00B41391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1/ folia polistyrenowa o grubości ok. 38µm (1.5mil)</w:t>
            </w:r>
          </w:p>
          <w:p w14:paraId="47310995" w14:textId="61582EB3" w:rsidR="00940929" w:rsidRPr="00AD19C6" w:rsidRDefault="00940929" w:rsidP="00B41391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2/ filtr szklany typu NG11</w:t>
            </w:r>
          </w:p>
          <w:p w14:paraId="3F496E8C" w14:textId="77777777" w:rsidR="00940929" w:rsidRPr="00AD19C6" w:rsidRDefault="00940929" w:rsidP="00053A8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Możliwość rozbudowy o polaryzator z automatyzacją regulacji kąta obrotu i wprowadzenia/usunięcia polaryzatora z wiązki</w:t>
            </w:r>
          </w:p>
          <w:p w14:paraId="7F22CD64" w14:textId="77777777" w:rsidR="00940929" w:rsidRPr="00AD19C6" w:rsidRDefault="00940929" w:rsidP="00053A8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Możliwość rozbudowy o wbudowaną przystawkę diamentową przystawkę ATR na zakres podczerwieni i dalekiej podczerwieni nie zajmującą przedziału pomiarowego z funkcją automatycznego przełączania wiązki między przedziałem próbek i przystawką</w:t>
            </w:r>
          </w:p>
          <w:p w14:paraId="752E820A" w14:textId="0EE6C1CF" w:rsidR="00940929" w:rsidRPr="00AD19C6" w:rsidRDefault="00940929" w:rsidP="00053A8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Komunikacja aparatu z jednostką sterującą przez szybki port USB 2.0</w:t>
            </w:r>
          </w:p>
          <w:p w14:paraId="45A5CC75" w14:textId="77777777" w:rsidR="00940929" w:rsidRPr="00AD19C6" w:rsidRDefault="00940929" w:rsidP="00030597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</w:p>
          <w:p w14:paraId="143FBEA2" w14:textId="04A18F6E" w:rsidR="00940929" w:rsidRPr="00AD19C6" w:rsidRDefault="00940929" w:rsidP="00053A8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Zasilacz spektrometru umieszczony na zewnątrz aparatu eliminujący wprowadzanie wysokiego napięcia (prądu zmiennego 230V) do aparatu i zapewniający podwyższoną stabilność termiczną systemu</w:t>
            </w:r>
          </w:p>
          <w:p w14:paraId="65460709" w14:textId="77777777" w:rsidR="00940929" w:rsidRPr="00AD19C6" w:rsidRDefault="00940929" w:rsidP="00030597">
            <w:pPr>
              <w:pStyle w:val="Akapitzlist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</w:p>
          <w:p w14:paraId="45082A28" w14:textId="77777777" w:rsidR="00940929" w:rsidRPr="00AD19C6" w:rsidRDefault="00940929" w:rsidP="00030597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</w:p>
          <w:p w14:paraId="6C811036" w14:textId="63B4EAB6" w:rsidR="00940929" w:rsidRPr="00AD19C6" w:rsidRDefault="00940929" w:rsidP="00053A8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Przystawka ATR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jednoodbiciowa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 z kryształem diamentowym litym do szybkich analiz IR bez konieczności przygotowania próbek. Wyposażona w odchylane urządzenie dociskowe o regulowanej sile docisku, automatycznie rozpoznawana przez spektrometr z automatycznym ładowaniem optymalnych parametrów analizy. Przystawka powtarzalnie mocowana w przedziale pomiarowym i integrująca się z obudową spektrometru - po założeniu uszczelniająca drogę optyczną i jednocześnie włączona w system przedmuchu. Możliwość wyposażenia w opcjonalne kryształy Ge i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ZnSe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, kryształy z kontrolą temperatury</w:t>
            </w:r>
          </w:p>
          <w:p w14:paraId="2E9D36F0" w14:textId="77777777" w:rsidR="00940929" w:rsidRPr="00AD19C6" w:rsidRDefault="00940929" w:rsidP="00030597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</w:p>
          <w:p w14:paraId="2E57CCC6" w14:textId="60516176" w:rsidR="00940929" w:rsidRPr="00AD19C6" w:rsidRDefault="00940929" w:rsidP="00053A8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Przystawka do pomiarów metodą odbicia rozproszonego, umożliwiająca umieszczenie obiektów dużych, o nieregularnych kształtach. W zestawie płytka  z okienkiem przepuszczającym promieniowanie IR do próbek proszkowych, czy bardzo małych próbek oraz zestaw nakładek z otworami o średnicach 3, 5, 7 i 10 mm, złote lusterko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transfleksyjne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 i podstawa do umieszczenia w spektrometrze</w:t>
            </w:r>
          </w:p>
          <w:p w14:paraId="162D062A" w14:textId="77777777" w:rsidR="00940929" w:rsidRPr="00AD19C6" w:rsidRDefault="00940929" w:rsidP="00030597">
            <w:pPr>
              <w:pStyle w:val="Akapitzlist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</w:p>
          <w:p w14:paraId="2D14E8A0" w14:textId="77777777" w:rsidR="00940929" w:rsidRPr="00AD19C6" w:rsidRDefault="00940929" w:rsidP="00030597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</w:p>
          <w:p w14:paraId="795783CB" w14:textId="57722949" w:rsidR="00940929" w:rsidRPr="00AD19C6" w:rsidRDefault="00940929" w:rsidP="00053A8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Sterowanie przez zewnętrzny komputer PC pracujący w </w:t>
            </w:r>
            <w:r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kompatybilnym </w:t>
            </w: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systemie. Program obsługi spektrometru co najmniej w języku polskim i angielskim kompatybilny z Windows 10/11 64-bit. Automatyczny wybór wersji językowej przy logowaniu do Windows i przez wybór opcji regionalnych w panelu sterowania Windows. Musi zapewniać: </w:t>
            </w:r>
          </w:p>
          <w:p w14:paraId="2D6807F8" w14:textId="4E90D56F" w:rsidR="00940929" w:rsidRPr="00AD19C6" w:rsidRDefault="00940929" w:rsidP="00030597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1/ logowanie użytkowników z hasłami i różnymi poziomami dostępu,</w:t>
            </w:r>
          </w:p>
          <w:p w14:paraId="0B068D70" w14:textId="5988FE34" w:rsidR="00940929" w:rsidRPr="00AD19C6" w:rsidRDefault="00940929" w:rsidP="00030597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2/ funkcja automatycznego doboru wzmocnienia sygnału</w:t>
            </w:r>
          </w:p>
          <w:p w14:paraId="156CBB16" w14:textId="20E34A99" w:rsidR="00940929" w:rsidRPr="00AD19C6" w:rsidRDefault="00940929" w:rsidP="00030597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3/ funkcje wykonywania eksperymentów i analizy danych we wszystkich rodzajach eksperymentów</w:t>
            </w:r>
          </w:p>
          <w:p w14:paraId="0751F3B7" w14:textId="7BC773EA" w:rsidR="00940929" w:rsidRPr="00AD19C6" w:rsidRDefault="00940929" w:rsidP="00030597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4/ możliwość ustawiania zaawansowanych parametrów pomiarowych - funkcji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apodyzacji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 (co najmniej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Happ-Genzel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, Beer-Norton,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Blackman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-Harris,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Boxcar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, Triangle,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Cosine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),  korekcji fazy (Mertz, Power,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deHaseth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), wypełniania zerami (0, 1x, 2x), cyfrowych filtrów górnoprzepustowych i dolnoprzepustowych</w:t>
            </w:r>
          </w:p>
          <w:p w14:paraId="6DFF7A36" w14:textId="7C7C927A" w:rsidR="00940929" w:rsidRPr="00AD19C6" w:rsidRDefault="00940929" w:rsidP="00030597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5/ podgląd widm zapisanych na dysku przed ich otwarciem (jak podgląd dokumentów w pakiecie Office)</w:t>
            </w:r>
          </w:p>
          <w:p w14:paraId="7D005570" w14:textId="37DD3AEC" w:rsidR="00940929" w:rsidRPr="00AD19C6" w:rsidRDefault="00940929" w:rsidP="00030597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6/ dostęp do surowych danych łącznie z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interferogramem</w:t>
            </w:r>
            <w:proofErr w:type="spellEnd"/>
          </w:p>
          <w:p w14:paraId="10DA9237" w14:textId="52522C19" w:rsidR="00940929" w:rsidRPr="00AD19C6" w:rsidRDefault="00940929" w:rsidP="00030597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7/ bezpośrednie otwieranie i zapisywanie danych spektralnych w najczęściej wykorzystywanych  formatach widm IR, co najmniej: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spc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 (m.in. GRAMS), spa (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m.in.OMNIC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),  dx/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jdx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 (JCAMP-DX), txt/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csv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 (ASCII),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gaml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 (GAML),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abs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/ras (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WinFIRST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)</w:t>
            </w:r>
          </w:p>
          <w:p w14:paraId="2C280A72" w14:textId="554FCC33" w:rsidR="00940929" w:rsidRPr="00AD19C6" w:rsidRDefault="00940929" w:rsidP="00030597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8/ funkcje przetwarzania widm: korekcja linii bazowej – automatyczna i manualna,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dekonwolucja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, odejmowanie spektralne, wyznaczanie pochodnych, znajdowanie maksimów, wygładzanie, transformacja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Kramersa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Kroniga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, korekcja ATR,  pomiar wysokości i położenia pasma, pomiar pola powierzchni pasm - bezwzględnej i względnej</w:t>
            </w:r>
          </w:p>
          <w:p w14:paraId="17256F50" w14:textId="2DA11FB6" w:rsidR="00940929" w:rsidRPr="00AD19C6" w:rsidRDefault="00940929" w:rsidP="00030597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lastRenderedPageBreak/>
              <w:t xml:space="preserve">9/ funkcja rozkładu pasm na składowe z algorytmem konwergencji typu Fletcher-Powell-McCormick, uwzględniająca co najmniej następujące typy pasm: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Gaussian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,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Lorentzian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, mieszany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Gaussian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/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Lorentzian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,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Voigt</w:t>
            </w:r>
            <w:proofErr w:type="spellEnd"/>
          </w:p>
          <w:p w14:paraId="122C16DF" w14:textId="081AF453" w:rsidR="00940929" w:rsidRPr="00AD19C6" w:rsidRDefault="00940929" w:rsidP="00030597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10/ przeszukiwanie bibliotek w celu identyfikacji widma nieznanej próbki oraz/lub porównania z widmem wzorca</w:t>
            </w:r>
          </w:p>
          <w:p w14:paraId="40763570" w14:textId="3680D71C" w:rsidR="00940929" w:rsidRPr="00AD19C6" w:rsidRDefault="00940929" w:rsidP="00030597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11/ tworzenie własnych bibliotek użytkownika, </w:t>
            </w:r>
          </w:p>
          <w:p w14:paraId="11ECEE05" w14:textId="4986749D" w:rsidR="00940929" w:rsidRPr="00AD19C6" w:rsidRDefault="00940929" w:rsidP="00030597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12/ biblioteki widm obejmujące co najmniej 100 widm bursztynów naturalnych i syntetycznych i co najmniej  30 tyś. widm związków organicznych, węglowodorów, alkoholi, aldehydów, ketonów, estrów, związków fosforu, związków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organometalicznych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, barwników, polimerów syntetycznych, biopolimerów (białek, peptydów), enzymów, węglowodanów, barwników pochodzenia naturalnego, kwasów tłuszczowych, glicerydów, wosków</w:t>
            </w:r>
          </w:p>
          <w:p w14:paraId="4973F19C" w14:textId="74872F7E" w:rsidR="00940929" w:rsidRPr="00AD19C6" w:rsidRDefault="00940929" w:rsidP="00030597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13/ moduł oprogramowania do analiz chemometrycznych obejmujący algorytmy analizy ilościowej i klasyfikacyjnej – co najmniej następujące: </w:t>
            </w:r>
          </w:p>
          <w:p w14:paraId="0008C591" w14:textId="430B3360" w:rsidR="00940929" w:rsidRPr="00AD19C6" w:rsidRDefault="00940929" w:rsidP="00030597">
            <w:pPr>
              <w:pStyle w:val="Akapitzlist"/>
              <w:numPr>
                <w:ilvl w:val="1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do analiz ilościowych:</w:t>
            </w:r>
          </w:p>
          <w:p w14:paraId="6B90019F" w14:textId="77777777" w:rsidR="00940929" w:rsidRPr="00AD19C6" w:rsidRDefault="00940929" w:rsidP="00030597">
            <w:pPr>
              <w:pStyle w:val="Akapitzlist"/>
              <w:numPr>
                <w:ilvl w:val="2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prawo Lamberta-Beera</w:t>
            </w:r>
          </w:p>
          <w:p w14:paraId="0E9B2894" w14:textId="77777777" w:rsidR="00940929" w:rsidRPr="00AD19C6" w:rsidRDefault="00940929" w:rsidP="00030597">
            <w:pPr>
              <w:pStyle w:val="Akapitzlist"/>
              <w:numPr>
                <w:ilvl w:val="2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klasyczna metoda najmniejszych kwadratów</w:t>
            </w:r>
          </w:p>
          <w:p w14:paraId="71706199" w14:textId="77777777" w:rsidR="00940929" w:rsidRPr="00AD19C6" w:rsidRDefault="00940929" w:rsidP="00030597">
            <w:pPr>
              <w:pStyle w:val="Akapitzlist"/>
              <w:numPr>
                <w:ilvl w:val="1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do analiz klasyfikacyjnych</w:t>
            </w:r>
          </w:p>
          <w:p w14:paraId="7F5D0E62" w14:textId="77777777" w:rsidR="00940929" w:rsidRPr="00AD19C6" w:rsidRDefault="00940929" w:rsidP="00030597">
            <w:pPr>
              <w:pStyle w:val="Akapitzlist"/>
              <w:numPr>
                <w:ilvl w:val="2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przeszukiwanie biblioteki wzorców z analizą korelacji, także dla pochodnych widm</w:t>
            </w:r>
          </w:p>
          <w:p w14:paraId="2FFDC3B5" w14:textId="77777777" w:rsidR="00940929" w:rsidRPr="00AD19C6" w:rsidRDefault="00940929" w:rsidP="00030597">
            <w:pPr>
              <w:pStyle w:val="Akapitzlist"/>
              <w:numPr>
                <w:ilvl w:val="2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wektorowa analiza podobieństwa</w:t>
            </w:r>
          </w:p>
          <w:p w14:paraId="3549C534" w14:textId="77777777" w:rsidR="00940929" w:rsidRPr="00AD19C6" w:rsidRDefault="00940929" w:rsidP="00030597">
            <w:pPr>
              <w:pStyle w:val="Akapitzlist"/>
              <w:numPr>
                <w:ilvl w:val="2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analiza korelacyjna widm uśrednionych</w:t>
            </w:r>
          </w:p>
          <w:p w14:paraId="6A1F3C8C" w14:textId="2153C17A" w:rsidR="00940929" w:rsidRPr="00AD19C6" w:rsidRDefault="00940929" w:rsidP="00030597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14/ moduł do tworzenia i wykonywania makroinstrukcji,</w:t>
            </w:r>
          </w:p>
          <w:p w14:paraId="4B62ACD6" w14:textId="0BC0E3D4" w:rsidR="00940929" w:rsidRPr="00AD19C6" w:rsidRDefault="00940929" w:rsidP="00030597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15/ moduł spektralnej interpretacji widm,</w:t>
            </w:r>
          </w:p>
          <w:p w14:paraId="238D6FC0" w14:textId="2DB93C3B" w:rsidR="00940929" w:rsidRPr="00AD19C6" w:rsidRDefault="00940929" w:rsidP="00030597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16/ automatyczna korekcja zawartości CO2 i pary wodnej przez oprogramowanie bez konieczności zbierania widm referencyjnych</w:t>
            </w:r>
          </w:p>
          <w:p w14:paraId="0404E2B5" w14:textId="542A8269" w:rsidR="00940929" w:rsidRPr="00AD19C6" w:rsidRDefault="00940929" w:rsidP="00030597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17/ wyświetlanie widm w czasie rzeczywistym (w trakcie pomiaru),</w:t>
            </w:r>
          </w:p>
          <w:p w14:paraId="4A79F7F2" w14:textId="4F106D67" w:rsidR="00940929" w:rsidRPr="00AD19C6" w:rsidRDefault="00940929" w:rsidP="00030597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18/ automatyczne wykonywanie testów jakości widm z informowaniem użytkownika m.in. o niepożądanych pasmach spektralnych w widmie tła, nieprawidłowym kształcie pasm, obecności pasm całkowicie absorbujących, nachyleniu linii podstawowej, zbyt małej energii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interferogramu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, </w:t>
            </w:r>
          </w:p>
          <w:p w14:paraId="4429CF9D" w14:textId="4B29A84A" w:rsidR="00940929" w:rsidRPr="00AD19C6" w:rsidRDefault="00940929" w:rsidP="00030597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19/ aktywna diagnostyka w trakcie pomiaru z ciągłym monitorowaniem stanu elementów systemu i wizualnym wskaźnikiem poprawnej pracy aparatu, </w:t>
            </w:r>
          </w:p>
          <w:p w14:paraId="130E8591" w14:textId="5EC1785B" w:rsidR="00940929" w:rsidRPr="00AD19C6" w:rsidRDefault="00940929" w:rsidP="00030597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20/ wbudowany edytor do tworzenia raportów według własnych szablonów, </w:t>
            </w:r>
          </w:p>
          <w:p w14:paraId="2F26C2C0" w14:textId="223A6E0C" w:rsidR="00940929" w:rsidRPr="00AD19C6" w:rsidRDefault="00940929" w:rsidP="00030597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21/ archiwizowanie gotowych raportów w nieedytowalnych skoroszytach elektronicznych z funkcją przeszukiwania skoroszytów umożliwiającą szybkie dotarcie do każdego raportu</w:t>
            </w:r>
          </w:p>
          <w:p w14:paraId="7D0A06A1" w14:textId="1D6A546F" w:rsidR="00940929" w:rsidRPr="00AD19C6" w:rsidRDefault="00940929" w:rsidP="00030597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22/ moduł rozszerzonej analizy widm obejmujący algorytm jednoczesnej wieloskładnikowej identyfikacji widm, pozwalający na identyfikację składników próbki w trakcie pojedynczego przeszukiwania biblioteki, bez konieczności stosowania odejmowania widm poszczególnych składników</w:t>
            </w:r>
          </w:p>
          <w:p w14:paraId="2621BDA0" w14:textId="15C842DC" w:rsidR="00940929" w:rsidRPr="00AD19C6" w:rsidRDefault="00940929" w:rsidP="00053A8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Kompatybilny zestaw komputerowy o parametrach nie gorszych niż: Procesor wielordzeniowy, w teście wydajnościowym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PassMark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 co najmniej 9000 punktów wg. Kolumny </w:t>
            </w:r>
            <w:proofErr w:type="spellStart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Passmark</w:t>
            </w:r>
            <w:proofErr w:type="spellEnd"/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 CPU Mark, 8GB RAM, HDD 256 SSD, monitor nie gorszy niż 19”, mysz optyczna, klawiatura, </w:t>
            </w:r>
            <w:r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Oprogramowanie kompatybilne z </w:t>
            </w: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Windows 11 Pro (PL)</w:t>
            </w:r>
            <w:r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.</w:t>
            </w:r>
          </w:p>
          <w:p w14:paraId="24F6DB00" w14:textId="3BC41EC3" w:rsidR="00940929" w:rsidRPr="00AD19C6" w:rsidRDefault="00940929" w:rsidP="00053A80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</w:p>
        </w:tc>
      </w:tr>
      <w:tr w:rsidR="00940929" w:rsidRPr="00AD19C6" w14:paraId="12CD7DF0" w14:textId="77777777" w:rsidTr="00940929">
        <w:trPr>
          <w:trHeight w:val="71"/>
        </w:trPr>
        <w:tc>
          <w:tcPr>
            <w:tcW w:w="8359" w:type="dxa"/>
          </w:tcPr>
          <w:p w14:paraId="035A835C" w14:textId="1E368935" w:rsidR="00940929" w:rsidRPr="00AD19C6" w:rsidRDefault="00940929" w:rsidP="00940929">
            <w:pPr>
              <w:ind w:right="175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lastRenderedPageBreak/>
              <w:t xml:space="preserve">                  Instalacja i szkolenie przez autoryzowany serwis</w:t>
            </w:r>
          </w:p>
        </w:tc>
      </w:tr>
      <w:tr w:rsidR="00940929" w:rsidRPr="00AD19C6" w14:paraId="4AFC0CFD" w14:textId="77777777" w:rsidTr="00940929">
        <w:tc>
          <w:tcPr>
            <w:tcW w:w="8359" w:type="dxa"/>
          </w:tcPr>
          <w:p w14:paraId="611899DA" w14:textId="3602904C" w:rsidR="00940929" w:rsidRPr="00AD19C6" w:rsidRDefault="00940929" w:rsidP="00B41391">
            <w:pPr>
              <w:pStyle w:val="Akapitzlist"/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Termin dostawy: 5 tygodni od dnia podpisania umowy</w:t>
            </w:r>
          </w:p>
        </w:tc>
      </w:tr>
      <w:tr w:rsidR="00940929" w:rsidRPr="00AD19C6" w14:paraId="0694784D" w14:textId="77777777" w:rsidTr="00940929">
        <w:tc>
          <w:tcPr>
            <w:tcW w:w="8359" w:type="dxa"/>
          </w:tcPr>
          <w:p w14:paraId="2D4DE674" w14:textId="4BF5A91A" w:rsidR="00940929" w:rsidRPr="00AD19C6" w:rsidRDefault="00940929" w:rsidP="004B6872">
            <w:p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                  Gwarancja na całość sprzętu minimum 12 miesięcy, </w:t>
            </w:r>
          </w:p>
          <w:p w14:paraId="428B1FF9" w14:textId="4492B9FB" w:rsidR="00940929" w:rsidRPr="00AD19C6" w:rsidRDefault="00940929" w:rsidP="004B6872">
            <w:p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AD19C6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                  ponadto interferometr, źródło – 10 lat, laser – 5 lat</w:t>
            </w:r>
          </w:p>
        </w:tc>
      </w:tr>
    </w:tbl>
    <w:p w14:paraId="5B6988DC" w14:textId="47A05A91" w:rsidR="004B6872" w:rsidRPr="00AD19C6" w:rsidRDefault="004B6872" w:rsidP="004B6872">
      <w:pPr>
        <w:spacing w:after="0"/>
        <w:jc w:val="both"/>
        <w:rPr>
          <w:rFonts w:ascii="Arial" w:hAnsi="Arial" w:cs="Arial"/>
          <w:b/>
          <w:bCs/>
          <w:color w:val="262626" w:themeColor="text1" w:themeTint="D9"/>
          <w:sz w:val="18"/>
          <w:szCs w:val="18"/>
        </w:rPr>
      </w:pPr>
    </w:p>
    <w:p w14:paraId="144E4369" w14:textId="77777777" w:rsidR="008C66AC" w:rsidRPr="00AD19C6" w:rsidRDefault="008C66AC" w:rsidP="00940929">
      <w:pPr>
        <w:pStyle w:val="Akapitzlist"/>
        <w:numPr>
          <w:ilvl w:val="0"/>
          <w:numId w:val="2"/>
        </w:numPr>
        <w:spacing w:after="200" w:line="276" w:lineRule="auto"/>
        <w:ind w:left="142" w:right="112" w:firstLine="0"/>
        <w:jc w:val="both"/>
        <w:rPr>
          <w:rFonts w:ascii="Arial" w:hAnsi="Arial" w:cs="Arial"/>
          <w:sz w:val="20"/>
          <w:szCs w:val="20"/>
        </w:rPr>
      </w:pPr>
      <w:r w:rsidRPr="00AD19C6">
        <w:rPr>
          <w:rFonts w:ascii="Arial" w:hAnsi="Arial" w:cs="Arial"/>
          <w:sz w:val="20"/>
          <w:szCs w:val="20"/>
        </w:rPr>
        <w:t>Zamawiający wymaga, aby Wykonawca zapewnił Zamawiającemu:</w:t>
      </w:r>
    </w:p>
    <w:p w14:paraId="197CDD54" w14:textId="77777777" w:rsidR="008C66AC" w:rsidRPr="00AD19C6" w:rsidRDefault="008C66AC" w:rsidP="00940929">
      <w:pPr>
        <w:numPr>
          <w:ilvl w:val="0"/>
          <w:numId w:val="3"/>
        </w:numPr>
        <w:spacing w:after="200" w:line="276" w:lineRule="auto"/>
        <w:ind w:left="709" w:right="112" w:hanging="425"/>
        <w:jc w:val="both"/>
        <w:rPr>
          <w:rFonts w:ascii="Arial" w:hAnsi="Arial" w:cs="Arial"/>
          <w:sz w:val="20"/>
          <w:szCs w:val="20"/>
          <w:lang w:eastAsia="pl-PL"/>
        </w:rPr>
      </w:pPr>
      <w:r w:rsidRPr="00AD19C6">
        <w:rPr>
          <w:rFonts w:ascii="Arial" w:hAnsi="Arial" w:cs="Arial"/>
          <w:sz w:val="20"/>
          <w:szCs w:val="20"/>
          <w:lang w:eastAsia="pl-PL"/>
        </w:rPr>
        <w:t>z</w:t>
      </w:r>
      <w:r w:rsidRPr="00AD19C6">
        <w:rPr>
          <w:rFonts w:ascii="Arial" w:hAnsi="Arial" w:cs="Arial"/>
          <w:sz w:val="20"/>
          <w:szCs w:val="20"/>
        </w:rPr>
        <w:t>agwarantował</w:t>
      </w:r>
      <w:r w:rsidRPr="00AD19C6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Pr="00AD19C6">
        <w:rPr>
          <w:rFonts w:ascii="Arial" w:hAnsi="Arial" w:cs="Arial"/>
          <w:sz w:val="20"/>
          <w:szCs w:val="20"/>
          <w:lang w:eastAsia="pl-PL"/>
        </w:rPr>
        <w:t>dostawę wraz z wniesieniem, montażem, instalacją, konfiguracją i uruchomieniem przedmiotu zamówienia (wraz z zasilaniem awaryjnym) o wymogach i parametrach technicznych opisanych w Załączniku nr 1 do SWZ. Dostawa przedmiotu zamówienia odbywa się na koszt Wykonawcy w miejsce wskazane w Załączniku nr 1 do SWZ.</w:t>
      </w:r>
    </w:p>
    <w:p w14:paraId="66438C3F" w14:textId="0DADC035" w:rsidR="008C66AC" w:rsidRDefault="008C66AC" w:rsidP="00940929">
      <w:pPr>
        <w:numPr>
          <w:ilvl w:val="0"/>
          <w:numId w:val="3"/>
        </w:numPr>
        <w:spacing w:after="200" w:line="276" w:lineRule="auto"/>
        <w:ind w:left="567" w:right="112" w:hanging="283"/>
        <w:jc w:val="both"/>
        <w:rPr>
          <w:rFonts w:ascii="Arial" w:hAnsi="Arial" w:cs="Arial"/>
          <w:sz w:val="20"/>
          <w:szCs w:val="20"/>
          <w:lang w:eastAsia="pl-PL"/>
        </w:rPr>
      </w:pPr>
      <w:r w:rsidRPr="00AD19C6">
        <w:rPr>
          <w:rFonts w:ascii="Arial" w:hAnsi="Arial" w:cs="Arial"/>
          <w:sz w:val="20"/>
          <w:szCs w:val="20"/>
          <w:lang w:eastAsia="pl-PL"/>
        </w:rPr>
        <w:t>uruchomienie urządzenia stanowiącego przedmiot zamówienia oraz przeszkolenie</w:t>
      </w:r>
      <w:r w:rsidR="00A727E3">
        <w:rPr>
          <w:rFonts w:ascii="Arial" w:hAnsi="Arial" w:cs="Arial"/>
          <w:sz w:val="20"/>
          <w:szCs w:val="20"/>
          <w:lang w:eastAsia="pl-PL"/>
        </w:rPr>
        <w:t xml:space="preserve"> 2</w:t>
      </w:r>
      <w:r w:rsidRPr="00AD19C6">
        <w:rPr>
          <w:rFonts w:ascii="Arial" w:hAnsi="Arial" w:cs="Arial"/>
          <w:sz w:val="20"/>
          <w:szCs w:val="20"/>
          <w:lang w:eastAsia="pl-PL"/>
        </w:rPr>
        <w:t xml:space="preserve"> pracowników w zakresie jego obsługi, w miejscu użytkowania przedmiotu zamówienia, wliczone w cenę urządzenia;</w:t>
      </w:r>
    </w:p>
    <w:p w14:paraId="48683796" w14:textId="77777777" w:rsidR="008C66AC" w:rsidRPr="00AD19C6" w:rsidRDefault="008C66AC" w:rsidP="00940929">
      <w:pPr>
        <w:numPr>
          <w:ilvl w:val="0"/>
          <w:numId w:val="3"/>
        </w:numPr>
        <w:spacing w:after="200" w:line="276" w:lineRule="auto"/>
        <w:ind w:left="567" w:right="112" w:hanging="283"/>
        <w:jc w:val="both"/>
        <w:rPr>
          <w:rFonts w:ascii="Arial" w:hAnsi="Arial" w:cs="Arial"/>
          <w:sz w:val="20"/>
          <w:szCs w:val="20"/>
          <w:lang w:eastAsia="pl-PL"/>
        </w:rPr>
      </w:pPr>
      <w:r w:rsidRPr="00AD19C6">
        <w:rPr>
          <w:rFonts w:ascii="Arial" w:hAnsi="Arial" w:cs="Arial"/>
          <w:sz w:val="20"/>
          <w:szCs w:val="20"/>
          <w:lang w:eastAsia="pl-PL"/>
        </w:rPr>
        <w:t xml:space="preserve">kompletny serwis w czasie trwania gwarancji w miejscu użytkowania przedmiotu zamówienia, w ramach którego Wykonawca będzie bezpłatnie dokonywał naprawy uszkodzonego przedmiotu zamówienia, wymieni reklamowany element oraz część będącą na gwarancji, </w:t>
      </w:r>
      <w:r w:rsidRPr="00AD19C6">
        <w:rPr>
          <w:rFonts w:ascii="Arial" w:hAnsi="Arial" w:cs="Arial"/>
          <w:sz w:val="20"/>
          <w:szCs w:val="20"/>
          <w:lang w:eastAsia="pl-PL"/>
        </w:rPr>
        <w:lastRenderedPageBreak/>
        <w:t>wliczone w cenę przedmiotu zamówienia. Wykonawca ponosi wszelkie koszty napraw gwarancyjnych, włączając w to koszt części i transportu uszkodzonego sprzętu do serwisu i z serwisu;</w:t>
      </w:r>
    </w:p>
    <w:p w14:paraId="61294224" w14:textId="77777777" w:rsidR="008C66AC" w:rsidRPr="00AD19C6" w:rsidRDefault="008C66AC" w:rsidP="00940929">
      <w:pPr>
        <w:numPr>
          <w:ilvl w:val="0"/>
          <w:numId w:val="3"/>
        </w:numPr>
        <w:spacing w:after="200" w:line="276" w:lineRule="auto"/>
        <w:ind w:left="567" w:right="112" w:hanging="283"/>
        <w:jc w:val="both"/>
        <w:rPr>
          <w:rFonts w:ascii="Arial" w:hAnsi="Arial" w:cs="Arial"/>
          <w:sz w:val="20"/>
          <w:szCs w:val="20"/>
          <w:lang w:eastAsia="pl-PL"/>
        </w:rPr>
      </w:pPr>
      <w:r w:rsidRPr="00AD19C6">
        <w:rPr>
          <w:rFonts w:ascii="Arial" w:hAnsi="Arial" w:cs="Arial"/>
          <w:sz w:val="20"/>
          <w:szCs w:val="20"/>
          <w:lang w:eastAsia="pl-PL"/>
        </w:rPr>
        <w:t>naprawy lub wymiany zaoferowanych urządzeń lub ich części, na urządzenia lub części nowe i oryginalne. Naprawy lub wymiany muszą odbywać się zgodnie z metodyką i zaleceniami ich producentów i zostaną wykonane przez ich producentów lub autoryzowane przez nich podmioty.</w:t>
      </w:r>
    </w:p>
    <w:p w14:paraId="06DB5851" w14:textId="77777777" w:rsidR="008C66AC" w:rsidRPr="00AD19C6" w:rsidRDefault="008C66AC" w:rsidP="00940929">
      <w:pPr>
        <w:numPr>
          <w:ilvl w:val="0"/>
          <w:numId w:val="3"/>
        </w:numPr>
        <w:spacing w:after="200" w:line="276" w:lineRule="auto"/>
        <w:ind w:left="567" w:right="112" w:hanging="283"/>
        <w:jc w:val="both"/>
        <w:rPr>
          <w:rFonts w:ascii="Arial" w:hAnsi="Arial" w:cs="Arial"/>
          <w:sz w:val="20"/>
          <w:szCs w:val="20"/>
          <w:lang w:eastAsia="pl-PL"/>
        </w:rPr>
      </w:pPr>
      <w:r w:rsidRPr="00AD19C6">
        <w:rPr>
          <w:rFonts w:ascii="Arial" w:hAnsi="Arial" w:cs="Arial"/>
          <w:sz w:val="20"/>
          <w:szCs w:val="20"/>
          <w:lang w:eastAsia="pl-PL"/>
        </w:rPr>
        <w:t>wykonanie przeglądów gwarancyjnych w ilości niezbędnej do zachowania gwarancji, jednak nie mniej niż 2 bezpłatne przeglądy gwarancyjne w trakcie trwania gwarancji (po pierwszym i drugim roku eksploatacji);</w:t>
      </w:r>
    </w:p>
    <w:p w14:paraId="6154D329" w14:textId="4D1BFE36" w:rsidR="008C66AC" w:rsidRPr="00AD19C6" w:rsidRDefault="008C66AC" w:rsidP="00940929">
      <w:pPr>
        <w:numPr>
          <w:ilvl w:val="0"/>
          <w:numId w:val="3"/>
        </w:numPr>
        <w:spacing w:after="200" w:line="276" w:lineRule="auto"/>
        <w:ind w:left="567" w:right="112" w:hanging="283"/>
        <w:jc w:val="both"/>
        <w:rPr>
          <w:rFonts w:ascii="Arial" w:hAnsi="Arial" w:cs="Arial"/>
          <w:sz w:val="20"/>
          <w:szCs w:val="20"/>
          <w:lang w:eastAsia="pl-PL"/>
        </w:rPr>
      </w:pPr>
      <w:r w:rsidRPr="00AD19C6">
        <w:rPr>
          <w:rFonts w:ascii="Arial" w:hAnsi="Arial" w:cs="Arial"/>
          <w:sz w:val="20"/>
          <w:szCs w:val="20"/>
          <w:lang w:eastAsia="pl-PL"/>
        </w:rPr>
        <w:t xml:space="preserve">czas reakcji na zgłoszenie awarii, wady lub usterki przedmiotu zamówienia rozumiany jako potwierdzenie zwrotnie pocztą elektroniczną otrzymania zgłoszenia w czasie nieprzekraczającym </w:t>
      </w:r>
      <w:r w:rsidR="00940929">
        <w:rPr>
          <w:rFonts w:ascii="Arial" w:hAnsi="Arial" w:cs="Arial"/>
          <w:sz w:val="20"/>
          <w:szCs w:val="20"/>
          <w:lang w:eastAsia="pl-PL"/>
        </w:rPr>
        <w:t xml:space="preserve">5 dni roboczych </w:t>
      </w:r>
      <w:r w:rsidRPr="00AD19C6">
        <w:rPr>
          <w:rFonts w:ascii="Arial" w:hAnsi="Arial" w:cs="Arial"/>
          <w:sz w:val="20"/>
          <w:szCs w:val="20"/>
          <w:lang w:eastAsia="pl-PL"/>
        </w:rPr>
        <w:t>od chwili zgłoszenia przez użytkownika;</w:t>
      </w:r>
    </w:p>
    <w:p w14:paraId="0E35BC5E" w14:textId="288F512D" w:rsidR="008C66AC" w:rsidRPr="00AD19C6" w:rsidRDefault="008C66AC" w:rsidP="00940929">
      <w:pPr>
        <w:numPr>
          <w:ilvl w:val="0"/>
          <w:numId w:val="3"/>
        </w:numPr>
        <w:spacing w:after="200" w:line="276" w:lineRule="auto"/>
        <w:ind w:left="567" w:right="112" w:hanging="283"/>
        <w:jc w:val="both"/>
        <w:rPr>
          <w:rFonts w:ascii="Arial" w:hAnsi="Arial" w:cs="Arial"/>
          <w:sz w:val="20"/>
          <w:szCs w:val="20"/>
          <w:lang w:eastAsia="pl-PL"/>
        </w:rPr>
      </w:pPr>
      <w:r w:rsidRPr="00AD19C6">
        <w:rPr>
          <w:rFonts w:ascii="Arial" w:hAnsi="Arial" w:cs="Arial"/>
          <w:sz w:val="20"/>
          <w:szCs w:val="20"/>
          <w:lang w:eastAsia="pl-PL"/>
        </w:rPr>
        <w:t xml:space="preserve">czas przystąpienia do naprawy maksymalnie do </w:t>
      </w:r>
      <w:r w:rsidR="00940929">
        <w:rPr>
          <w:rFonts w:ascii="Arial" w:hAnsi="Arial" w:cs="Arial"/>
          <w:sz w:val="20"/>
          <w:szCs w:val="20"/>
          <w:lang w:eastAsia="pl-PL"/>
        </w:rPr>
        <w:t>7</w:t>
      </w:r>
      <w:r w:rsidRPr="00AD19C6">
        <w:rPr>
          <w:rFonts w:ascii="Arial" w:hAnsi="Arial" w:cs="Arial"/>
          <w:sz w:val="20"/>
          <w:szCs w:val="20"/>
          <w:lang w:eastAsia="pl-PL"/>
        </w:rPr>
        <w:t xml:space="preserve"> dni roboczych od daty zgłoszenia rozumiany jako pojawienie się serwisanta przy uszkodzonym urządzeniu, liczony od momentu zgłoszenia awarii, wady, usterki przez użytkownika;</w:t>
      </w:r>
    </w:p>
    <w:p w14:paraId="3E8807EA" w14:textId="77777777" w:rsidR="008C66AC" w:rsidRPr="00AD19C6" w:rsidRDefault="008C66AC" w:rsidP="00940929">
      <w:pPr>
        <w:numPr>
          <w:ilvl w:val="0"/>
          <w:numId w:val="3"/>
        </w:numPr>
        <w:spacing w:after="200" w:line="276" w:lineRule="auto"/>
        <w:ind w:left="567" w:right="112" w:hanging="283"/>
        <w:jc w:val="both"/>
        <w:rPr>
          <w:rFonts w:ascii="Arial" w:hAnsi="Arial" w:cs="Arial"/>
          <w:sz w:val="20"/>
          <w:szCs w:val="20"/>
          <w:lang w:eastAsia="pl-PL"/>
        </w:rPr>
      </w:pPr>
      <w:r w:rsidRPr="00AD19C6">
        <w:rPr>
          <w:rFonts w:ascii="Arial" w:hAnsi="Arial" w:cs="Arial"/>
          <w:sz w:val="20"/>
          <w:szCs w:val="20"/>
          <w:lang w:eastAsia="pl-PL"/>
        </w:rPr>
        <w:t>czas naprawy do 14 dni roboczych od daty zgłoszenia rozumiany jako przywrócenie pełnej sprawności urządzenia. W przypadku gdy czas naprawy urządzenia przekroczy 14 dni roboczych Wykonawca w ramach ceny oferty zobowiązany jest dostarczyć na czas naprawy urządzenia, urządzenie o parametrach technicznych i funkcjonalnych nie gorszych niż urządzenie naprawiane oraz jego instalację, skonfigurowanie i uruchomienie;</w:t>
      </w:r>
    </w:p>
    <w:p w14:paraId="03A46478" w14:textId="497CBC8B" w:rsidR="008C66AC" w:rsidRPr="00AD19C6" w:rsidRDefault="008C66AC" w:rsidP="00940929">
      <w:pPr>
        <w:numPr>
          <w:ilvl w:val="0"/>
          <w:numId w:val="3"/>
        </w:numPr>
        <w:spacing w:after="200" w:line="276" w:lineRule="auto"/>
        <w:ind w:left="567" w:right="112" w:hanging="425"/>
        <w:jc w:val="both"/>
        <w:rPr>
          <w:rFonts w:ascii="Arial" w:hAnsi="Arial" w:cs="Arial"/>
          <w:sz w:val="20"/>
          <w:szCs w:val="20"/>
          <w:lang w:eastAsia="pl-PL"/>
        </w:rPr>
      </w:pPr>
      <w:r w:rsidRPr="00AD19C6">
        <w:rPr>
          <w:rFonts w:ascii="Arial" w:hAnsi="Arial" w:cs="Arial"/>
          <w:sz w:val="20"/>
          <w:szCs w:val="20"/>
          <w:lang w:eastAsia="pl-PL"/>
        </w:rPr>
        <w:t>instrukcję obsługi w języku polskim</w:t>
      </w:r>
      <w:r w:rsidRPr="00AD19C6">
        <w:rPr>
          <w:rFonts w:ascii="Arial" w:hAnsi="Arial" w:cs="Arial"/>
          <w:sz w:val="20"/>
          <w:szCs w:val="20"/>
        </w:rPr>
        <w:t xml:space="preserve"> </w:t>
      </w:r>
      <w:r w:rsidRPr="00AD19C6">
        <w:rPr>
          <w:rFonts w:ascii="Arial" w:hAnsi="Arial" w:cs="Arial"/>
          <w:sz w:val="20"/>
          <w:szCs w:val="20"/>
          <w:lang w:eastAsia="pl-PL"/>
        </w:rPr>
        <w:t xml:space="preserve"> - wraz z dostawą. Wykonawca jest zobowiązany do dostarczenia karty gwarancyjnej dla  dostarczon</w:t>
      </w:r>
      <w:r w:rsidR="003A4DF4">
        <w:rPr>
          <w:rFonts w:ascii="Arial" w:hAnsi="Arial" w:cs="Arial"/>
          <w:sz w:val="20"/>
          <w:szCs w:val="20"/>
          <w:lang w:eastAsia="pl-PL"/>
        </w:rPr>
        <w:t>ego</w:t>
      </w:r>
      <w:r w:rsidRPr="00AD19C6">
        <w:rPr>
          <w:rFonts w:ascii="Arial" w:hAnsi="Arial" w:cs="Arial"/>
          <w:sz w:val="20"/>
          <w:szCs w:val="20"/>
          <w:lang w:eastAsia="pl-PL"/>
        </w:rPr>
        <w:t xml:space="preserve"> </w:t>
      </w:r>
      <w:proofErr w:type="spellStart"/>
      <w:r w:rsidRPr="00AD19C6">
        <w:rPr>
          <w:rFonts w:ascii="Arial" w:hAnsi="Arial" w:cs="Arial"/>
          <w:sz w:val="20"/>
          <w:szCs w:val="20"/>
          <w:lang w:eastAsia="pl-PL"/>
        </w:rPr>
        <w:t>urządzeń</w:t>
      </w:r>
      <w:r w:rsidR="003A4DF4">
        <w:rPr>
          <w:rFonts w:ascii="Arial" w:hAnsi="Arial" w:cs="Arial"/>
          <w:sz w:val="20"/>
          <w:szCs w:val="20"/>
          <w:lang w:eastAsia="pl-PL"/>
        </w:rPr>
        <w:t>a</w:t>
      </w:r>
      <w:proofErr w:type="spellEnd"/>
      <w:r w:rsidR="003A4DF4">
        <w:rPr>
          <w:rFonts w:ascii="Arial" w:hAnsi="Arial" w:cs="Arial"/>
          <w:sz w:val="20"/>
          <w:szCs w:val="20"/>
          <w:lang w:eastAsia="pl-PL"/>
        </w:rPr>
        <w:t xml:space="preserve"> </w:t>
      </w:r>
      <w:r w:rsidRPr="00AD19C6">
        <w:rPr>
          <w:rFonts w:ascii="Arial" w:hAnsi="Arial" w:cs="Arial"/>
          <w:sz w:val="20"/>
          <w:szCs w:val="20"/>
          <w:lang w:eastAsia="pl-PL"/>
        </w:rPr>
        <w:t>lub innego dokumentu gwarancyjnego poświadczającego warunki gwarancji;</w:t>
      </w:r>
    </w:p>
    <w:p w14:paraId="5556274D" w14:textId="44EDBEC6" w:rsidR="00895F46" w:rsidRDefault="008C66AC" w:rsidP="00940929">
      <w:pPr>
        <w:numPr>
          <w:ilvl w:val="0"/>
          <w:numId w:val="3"/>
        </w:numPr>
        <w:spacing w:after="200" w:line="276" w:lineRule="auto"/>
        <w:ind w:left="426" w:right="112" w:hanging="425"/>
        <w:jc w:val="both"/>
        <w:rPr>
          <w:rFonts w:ascii="Arial" w:hAnsi="Arial" w:cs="Arial"/>
          <w:sz w:val="20"/>
          <w:szCs w:val="20"/>
        </w:rPr>
      </w:pPr>
      <w:r w:rsidRPr="002F2625">
        <w:rPr>
          <w:rFonts w:ascii="Arial" w:hAnsi="Arial" w:cs="Arial"/>
          <w:sz w:val="20"/>
          <w:szCs w:val="20"/>
          <w:lang w:eastAsia="pl-PL"/>
        </w:rPr>
        <w:t xml:space="preserve">przeprowadzenie </w:t>
      </w:r>
      <w:r w:rsidRPr="005F72CF">
        <w:rPr>
          <w:rFonts w:ascii="Arial" w:hAnsi="Arial" w:cs="Arial"/>
          <w:sz w:val="20"/>
          <w:szCs w:val="20"/>
          <w:lang w:eastAsia="pl-PL"/>
        </w:rPr>
        <w:t>szkoleń</w:t>
      </w:r>
      <w:r w:rsidR="00490E70">
        <w:rPr>
          <w:rFonts w:ascii="Arial" w:hAnsi="Arial" w:cs="Arial"/>
          <w:sz w:val="20"/>
          <w:szCs w:val="20"/>
          <w:lang w:eastAsia="pl-PL"/>
        </w:rPr>
        <w:t xml:space="preserve"> z obsługi </w:t>
      </w:r>
      <w:proofErr w:type="spellStart"/>
      <w:r w:rsidR="00490E70">
        <w:rPr>
          <w:rFonts w:ascii="Arial" w:hAnsi="Arial" w:cs="Arial"/>
          <w:sz w:val="20"/>
          <w:szCs w:val="20"/>
          <w:lang w:eastAsia="pl-PL"/>
        </w:rPr>
        <w:t>spektometru</w:t>
      </w:r>
      <w:proofErr w:type="spellEnd"/>
      <w:r w:rsidR="00486D1C">
        <w:rPr>
          <w:rFonts w:ascii="Arial" w:hAnsi="Arial" w:cs="Arial"/>
          <w:sz w:val="20"/>
          <w:szCs w:val="20"/>
          <w:lang w:eastAsia="pl-PL"/>
        </w:rPr>
        <w:t>, co najmniej 2 dni przez 6 godzin</w:t>
      </w:r>
      <w:r w:rsidR="004D62A1">
        <w:rPr>
          <w:rFonts w:ascii="Arial" w:hAnsi="Arial" w:cs="Arial"/>
          <w:sz w:val="20"/>
          <w:szCs w:val="20"/>
          <w:lang w:eastAsia="pl-PL"/>
        </w:rPr>
        <w:t xml:space="preserve"> dla dwóch osób</w:t>
      </w:r>
      <w:r w:rsidR="00FA6BFC">
        <w:rPr>
          <w:rFonts w:ascii="Arial" w:hAnsi="Arial" w:cs="Arial"/>
          <w:sz w:val="20"/>
          <w:szCs w:val="20"/>
          <w:lang w:eastAsia="pl-PL"/>
        </w:rPr>
        <w:t>;</w:t>
      </w:r>
      <w:r w:rsidR="002F2625" w:rsidRPr="005F72CF">
        <w:rPr>
          <w:rFonts w:ascii="Arial" w:hAnsi="Arial" w:cs="Arial"/>
          <w:sz w:val="20"/>
          <w:szCs w:val="20"/>
          <w:lang w:eastAsia="pl-PL"/>
        </w:rPr>
        <w:t xml:space="preserve"> </w:t>
      </w:r>
      <w:r w:rsidR="00895F46">
        <w:rPr>
          <w:rFonts w:ascii="Arial" w:hAnsi="Arial" w:cs="Arial"/>
          <w:sz w:val="20"/>
          <w:szCs w:val="20"/>
          <w:lang w:eastAsia="pl-PL"/>
        </w:rPr>
        <w:t xml:space="preserve"> </w:t>
      </w:r>
    </w:p>
    <w:p w14:paraId="570D529E" w14:textId="5FAEF0BB" w:rsidR="008C66AC" w:rsidRPr="002F2625" w:rsidRDefault="008C66AC" w:rsidP="00940929">
      <w:pPr>
        <w:numPr>
          <w:ilvl w:val="0"/>
          <w:numId w:val="3"/>
        </w:numPr>
        <w:spacing w:after="200" w:line="276" w:lineRule="auto"/>
        <w:ind w:left="426" w:right="112" w:hanging="425"/>
        <w:jc w:val="both"/>
        <w:rPr>
          <w:rFonts w:ascii="Arial" w:hAnsi="Arial" w:cs="Arial"/>
          <w:sz w:val="20"/>
          <w:szCs w:val="20"/>
        </w:rPr>
      </w:pPr>
      <w:r w:rsidRPr="002F2625">
        <w:rPr>
          <w:rFonts w:ascii="Arial" w:hAnsi="Arial" w:cs="Arial"/>
          <w:sz w:val="20"/>
          <w:szCs w:val="20"/>
        </w:rPr>
        <w:t xml:space="preserve">Wymagana przez Zamawiającego długość okresu gwarancji na przedmiot zamówienia wynosi co najmniej </w:t>
      </w:r>
      <w:r w:rsidR="002F2625" w:rsidRPr="002F2625">
        <w:rPr>
          <w:rFonts w:ascii="Arial" w:hAnsi="Arial" w:cs="Arial"/>
          <w:color w:val="262626" w:themeColor="text1" w:themeTint="D9"/>
          <w:sz w:val="18"/>
          <w:szCs w:val="18"/>
        </w:rPr>
        <w:t>Gwarancja na całość sprzętu minimum 12 miesięcy</w:t>
      </w:r>
      <w:r w:rsidR="002F2625" w:rsidRPr="002F2625">
        <w:rPr>
          <w:rFonts w:ascii="Arial" w:hAnsi="Arial" w:cs="Arial"/>
          <w:color w:val="262626" w:themeColor="text1" w:themeTint="D9"/>
          <w:sz w:val="20"/>
          <w:szCs w:val="20"/>
        </w:rPr>
        <w:t>,  ponadto interferometr, źródło – 10 lat, laser – 5 lat</w:t>
      </w:r>
      <w:r w:rsidRPr="002F2625">
        <w:rPr>
          <w:rFonts w:ascii="Arial" w:hAnsi="Arial" w:cs="Arial"/>
          <w:sz w:val="20"/>
          <w:szCs w:val="20"/>
        </w:rPr>
        <w:t xml:space="preserve"> </w:t>
      </w:r>
      <w:r w:rsidRPr="002F2625">
        <w:rPr>
          <w:rFonts w:ascii="Arial" w:hAnsi="Arial" w:cs="Arial"/>
          <w:sz w:val="20"/>
          <w:szCs w:val="20"/>
          <w:lang w:eastAsia="pl-PL"/>
        </w:rPr>
        <w:t>licząc</w:t>
      </w:r>
      <w:r w:rsidRPr="002F2625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Pr="002F2625">
        <w:rPr>
          <w:rFonts w:ascii="Arial" w:hAnsi="Arial" w:cs="Arial"/>
          <w:sz w:val="20"/>
          <w:szCs w:val="20"/>
        </w:rPr>
        <w:t>od daty przekazania Zamawiającemu do użytkowania przedmiotu zamówienia, potwierdzonego podpisaniem protokołu zdawczo-odbiorczego</w:t>
      </w:r>
      <w:r w:rsidRPr="002F2625">
        <w:rPr>
          <w:rFonts w:ascii="Arial" w:hAnsi="Arial" w:cs="Arial"/>
          <w:b/>
          <w:sz w:val="20"/>
          <w:szCs w:val="20"/>
          <w:lang w:eastAsia="pl-PL"/>
        </w:rPr>
        <w:t>.</w:t>
      </w:r>
    </w:p>
    <w:p w14:paraId="6DBF350E" w14:textId="77777777" w:rsidR="00252805" w:rsidRPr="00AD19C6" w:rsidRDefault="00252805" w:rsidP="004B6872">
      <w:pPr>
        <w:spacing w:after="0"/>
        <w:jc w:val="both"/>
        <w:rPr>
          <w:rFonts w:ascii="Arial" w:hAnsi="Arial" w:cs="Arial"/>
          <w:b/>
          <w:bCs/>
          <w:color w:val="262626" w:themeColor="text1" w:themeTint="D9"/>
          <w:sz w:val="18"/>
          <w:szCs w:val="18"/>
        </w:rPr>
      </w:pPr>
    </w:p>
    <w:sectPr w:rsidR="00252805" w:rsidRPr="00AD19C6" w:rsidSect="00940929">
      <w:headerReference w:type="even" r:id="rId10"/>
      <w:headerReference w:type="default" r:id="rId11"/>
      <w:headerReference w:type="first" r:id="rId12"/>
      <w:pgSz w:w="11906" w:h="16838"/>
      <w:pgMar w:top="851" w:right="567" w:bottom="2268" w:left="2722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CD5A9" w14:textId="77777777" w:rsidR="00B753A0" w:rsidRDefault="00B753A0" w:rsidP="00A15B76">
      <w:pPr>
        <w:spacing w:after="0" w:line="240" w:lineRule="auto"/>
      </w:pPr>
      <w:r>
        <w:separator/>
      </w:r>
    </w:p>
  </w:endnote>
  <w:endnote w:type="continuationSeparator" w:id="0">
    <w:p w14:paraId="6F191BBA" w14:textId="77777777" w:rsidR="00B753A0" w:rsidRDefault="00B753A0" w:rsidP="00A15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FA9C8" w14:textId="77777777" w:rsidR="00B753A0" w:rsidRDefault="00B753A0" w:rsidP="00A15B76">
      <w:pPr>
        <w:spacing w:after="0" w:line="240" w:lineRule="auto"/>
      </w:pPr>
      <w:r>
        <w:separator/>
      </w:r>
    </w:p>
  </w:footnote>
  <w:footnote w:type="continuationSeparator" w:id="0">
    <w:p w14:paraId="47A2C688" w14:textId="77777777" w:rsidR="00B753A0" w:rsidRDefault="00B753A0" w:rsidP="00A15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178D0" w14:textId="640CC008" w:rsidR="00A15B76" w:rsidRDefault="00E83DB4">
    <w:pPr>
      <w:pStyle w:val="Nagwek"/>
    </w:pPr>
    <w:r>
      <w:rPr>
        <w:noProof/>
      </w:rPr>
      <w:pict w14:anchorId="582FE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6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G_papier firmowy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A80FB" w14:textId="3FEDA91B" w:rsidR="00A15B76" w:rsidRDefault="00E83DB4">
    <w:pPr>
      <w:pStyle w:val="Nagwek"/>
    </w:pPr>
    <w:r>
      <w:rPr>
        <w:noProof/>
      </w:rPr>
      <w:pict w14:anchorId="1B7D4F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7" o:spid="_x0000_s1030" type="#_x0000_t75" style="position:absolute;margin-left:-136.2pt;margin-top:-43.85pt;width:595.2pt;height:841.9pt;z-index:-251656192;mso-position-horizontal-relative:margin;mso-position-vertical-relative:margin" o:allowincell="f">
          <v:imagedata r:id="rId1" o:title="MG_papier firmowy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A0AA" w14:textId="122B52E5" w:rsidR="00A15B76" w:rsidRDefault="00E83DB4">
    <w:pPr>
      <w:pStyle w:val="Nagwek"/>
    </w:pPr>
    <w:r>
      <w:rPr>
        <w:noProof/>
      </w:rPr>
      <w:pict w14:anchorId="2317D3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5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G_papier firmowy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905841"/>
    <w:multiLevelType w:val="hybridMultilevel"/>
    <w:tmpl w:val="21B0E0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3A2A5A"/>
    <w:multiLevelType w:val="hybridMultilevel"/>
    <w:tmpl w:val="09BCAD26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63C6679F"/>
    <w:multiLevelType w:val="hybridMultilevel"/>
    <w:tmpl w:val="C5D2BC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45B05"/>
    <w:multiLevelType w:val="hybridMultilevel"/>
    <w:tmpl w:val="33A4807A"/>
    <w:lvl w:ilvl="0" w:tplc="330CD936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8151658">
    <w:abstractNumId w:val="2"/>
  </w:num>
  <w:num w:numId="2" w16cid:durableId="506605162">
    <w:abstractNumId w:val="0"/>
  </w:num>
  <w:num w:numId="3" w16cid:durableId="320817007">
    <w:abstractNumId w:val="3"/>
  </w:num>
  <w:num w:numId="4" w16cid:durableId="9452331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B76"/>
    <w:rsid w:val="00030597"/>
    <w:rsid w:val="00053A80"/>
    <w:rsid w:val="000B44D3"/>
    <w:rsid w:val="001264DC"/>
    <w:rsid w:val="001A1A60"/>
    <w:rsid w:val="00211AB4"/>
    <w:rsid w:val="00252805"/>
    <w:rsid w:val="0028786C"/>
    <w:rsid w:val="002A0D82"/>
    <w:rsid w:val="002F2625"/>
    <w:rsid w:val="003A4DF4"/>
    <w:rsid w:val="00486D1C"/>
    <w:rsid w:val="00490E70"/>
    <w:rsid w:val="004B22F1"/>
    <w:rsid w:val="004B6872"/>
    <w:rsid w:val="004D62A1"/>
    <w:rsid w:val="0058575B"/>
    <w:rsid w:val="005F72CF"/>
    <w:rsid w:val="00600271"/>
    <w:rsid w:val="00723509"/>
    <w:rsid w:val="00750801"/>
    <w:rsid w:val="0075158F"/>
    <w:rsid w:val="00783194"/>
    <w:rsid w:val="007966F7"/>
    <w:rsid w:val="008461BF"/>
    <w:rsid w:val="00895F46"/>
    <w:rsid w:val="008C66AC"/>
    <w:rsid w:val="0090579B"/>
    <w:rsid w:val="00933404"/>
    <w:rsid w:val="00940929"/>
    <w:rsid w:val="00971E30"/>
    <w:rsid w:val="00A15B76"/>
    <w:rsid w:val="00A470E3"/>
    <w:rsid w:val="00A727E3"/>
    <w:rsid w:val="00A76230"/>
    <w:rsid w:val="00AB4CB5"/>
    <w:rsid w:val="00AD19C6"/>
    <w:rsid w:val="00B41391"/>
    <w:rsid w:val="00B753A0"/>
    <w:rsid w:val="00C54A90"/>
    <w:rsid w:val="00C821E5"/>
    <w:rsid w:val="00D22419"/>
    <w:rsid w:val="00D7400E"/>
    <w:rsid w:val="00E83DB4"/>
    <w:rsid w:val="00F03E8E"/>
    <w:rsid w:val="00F071FC"/>
    <w:rsid w:val="00F4310B"/>
    <w:rsid w:val="00FA6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F6CCB4"/>
  <w15:chartTrackingRefBased/>
  <w15:docId w15:val="{6E1ED1A8-9FDF-4041-8A93-0F15E8D33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2625"/>
  </w:style>
  <w:style w:type="paragraph" w:styleId="Nagwek1">
    <w:name w:val="heading 1"/>
    <w:basedOn w:val="Normalny"/>
    <w:next w:val="Normalny"/>
    <w:link w:val="Nagwek1Znak"/>
    <w:uiPriority w:val="9"/>
    <w:qFormat/>
    <w:rsid w:val="00940929"/>
    <w:pPr>
      <w:keepNext/>
      <w:spacing w:after="0" w:line="240" w:lineRule="auto"/>
      <w:ind w:right="741"/>
      <w:jc w:val="center"/>
      <w:outlineLvl w:val="0"/>
    </w:pPr>
    <w:rPr>
      <w:rFonts w:ascii="Arial" w:hAnsi="Arial" w:cs="Arial"/>
      <w:b/>
      <w:bCs/>
      <w:color w:val="262626" w:themeColor="text1" w:themeTint="D9"/>
      <w:sz w:val="18"/>
      <w:szCs w:val="1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76230"/>
    <w:pPr>
      <w:keepNext/>
      <w:spacing w:after="0"/>
      <w:ind w:right="112"/>
      <w:jc w:val="center"/>
      <w:outlineLvl w:val="1"/>
    </w:pPr>
    <w:rPr>
      <w:rFonts w:ascii="Arial" w:hAnsi="Arial" w:cs="Arial"/>
      <w:b/>
      <w:bCs/>
      <w:color w:val="262626" w:themeColor="text1" w:themeTint="D9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15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5B76"/>
  </w:style>
  <w:style w:type="paragraph" w:styleId="Stopka">
    <w:name w:val="footer"/>
    <w:basedOn w:val="Normalny"/>
    <w:link w:val="StopkaZnak"/>
    <w:uiPriority w:val="99"/>
    <w:unhideWhenUsed/>
    <w:rsid w:val="00A15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5B76"/>
  </w:style>
  <w:style w:type="paragraph" w:styleId="NormalnyWeb">
    <w:name w:val="Normal (Web)"/>
    <w:basedOn w:val="Normalny"/>
    <w:uiPriority w:val="99"/>
    <w:semiHidden/>
    <w:unhideWhenUsed/>
    <w:rsid w:val="00783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4B6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Wypunktowanie,L1,Numerowanie,Akapit z listą5,Γράφημα,zwykły tekst,Preambuła,T_SZ_List Paragraph,normalny tekst,Akapit z listą BS,Kolorowa lista — akcent 11,Colorful List Accent 1,List Paragraph1,BulletC,Obiekt,Podsis rysunku,lp1"/>
    <w:basedOn w:val="Normalny"/>
    <w:link w:val="AkapitzlistZnak"/>
    <w:uiPriority w:val="34"/>
    <w:qFormat/>
    <w:rsid w:val="00053A80"/>
    <w:pPr>
      <w:ind w:left="720"/>
      <w:contextualSpacing/>
    </w:pPr>
  </w:style>
  <w:style w:type="character" w:customStyle="1" w:styleId="AkapitzlistZnak">
    <w:name w:val="Akapit z listą Znak"/>
    <w:aliases w:val="CW_Lista Znak,Wypunktowanie Znak,L1 Znak,Numerowanie Znak,Akapit z listą5 Znak,Γράφημα Znak,zwykły tekst Znak,Preambuła Znak,T_SZ_List Paragraph Znak,normalny tekst Znak,Akapit z listą BS Znak,Kolorowa lista — akcent 11 Znak,lp1 Znak"/>
    <w:link w:val="Akapitzlist"/>
    <w:uiPriority w:val="34"/>
    <w:qFormat/>
    <w:rsid w:val="008C66AC"/>
  </w:style>
  <w:style w:type="character" w:customStyle="1" w:styleId="Nagwek1Znak">
    <w:name w:val="Nagłówek 1 Znak"/>
    <w:basedOn w:val="Domylnaczcionkaakapitu"/>
    <w:link w:val="Nagwek1"/>
    <w:uiPriority w:val="9"/>
    <w:rsid w:val="00940929"/>
    <w:rPr>
      <w:rFonts w:ascii="Arial" w:hAnsi="Arial" w:cs="Arial"/>
      <w:b/>
      <w:bCs/>
      <w:color w:val="262626" w:themeColor="text1" w:themeTint="D9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A76230"/>
    <w:rPr>
      <w:rFonts w:ascii="Arial" w:hAnsi="Arial" w:cs="Arial"/>
      <w:b/>
      <w:bCs/>
      <w:color w:val="262626" w:themeColor="text1" w:themeTint="D9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3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5E013A150FC143A4A43D20D11FF30D" ma:contentTypeVersion="8" ma:contentTypeDescription="Utwórz nowy dokument." ma:contentTypeScope="" ma:versionID="3a396b7d26f904dcf9d626bdb05a94e6">
  <xsd:schema xmlns:xsd="http://www.w3.org/2001/XMLSchema" xmlns:xs="http://www.w3.org/2001/XMLSchema" xmlns:p="http://schemas.microsoft.com/office/2006/metadata/properties" xmlns:ns2="3084ae6a-6132-45b5-bb68-e01603db4419" xmlns:ns3="f9d5726c-8ab2-4f96-a5b4-b15ce5866284" targetNamespace="http://schemas.microsoft.com/office/2006/metadata/properties" ma:root="true" ma:fieldsID="eaffbe5ee7496646027d122a1908eb64" ns2:_="" ns3:_="">
    <xsd:import namespace="3084ae6a-6132-45b5-bb68-e01603db4419"/>
    <xsd:import namespace="f9d5726c-8ab2-4f96-a5b4-b15ce58662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4ae6a-6132-45b5-bb68-e01603db44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28885cab-098d-4a37-a637-28bcbf05de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d5726c-8ab2-4f96-a5b4-b15ce586628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a574d31-57cb-484c-8888-5a984e0f4267}" ma:internalName="TaxCatchAll" ma:showField="CatchAllData" ma:web="f9d5726c-8ab2-4f96-a5b4-b15ce58662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B6CAD-845E-458B-A0B5-E314301B04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E9AC08-A7CE-4077-BD66-0159205A60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84ae6a-6132-45b5-bb68-e01603db4419"/>
    <ds:schemaRef ds:uri="f9d5726c-8ab2-4f96-a5b4-b15ce58662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E8F5E2-4C5C-4F1B-93F2-FF0AEF853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1971</Words>
  <Characters>11828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Gierszewski</dc:creator>
  <cp:keywords/>
  <dc:description/>
  <cp:lastModifiedBy>Aniela Wójcicka</cp:lastModifiedBy>
  <cp:revision>6</cp:revision>
  <cp:lastPrinted>2022-11-21T14:12:00Z</cp:lastPrinted>
  <dcterms:created xsi:type="dcterms:W3CDTF">2022-11-17T13:55:00Z</dcterms:created>
  <dcterms:modified xsi:type="dcterms:W3CDTF">2022-11-21T14:14:00Z</dcterms:modified>
</cp:coreProperties>
</file>