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8439" w14:textId="77777777" w:rsidR="008E019A" w:rsidRDefault="002B490D">
      <w:pP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1 do SWZ</w:t>
      </w:r>
    </w:p>
    <w:p w14:paraId="045F388E" w14:textId="77777777" w:rsidR="008E019A" w:rsidRDefault="008E019A">
      <w:pPr>
        <w:jc w:val="right"/>
        <w:rPr>
          <w:b/>
          <w:bCs/>
          <w:i/>
          <w:iCs/>
          <w:sz w:val="20"/>
          <w:szCs w:val="20"/>
        </w:rPr>
      </w:pPr>
    </w:p>
    <w:p w14:paraId="54095BC1" w14:textId="77777777" w:rsidR="008E019A" w:rsidRDefault="008E019A">
      <w:pPr>
        <w:widowControl w:val="0"/>
        <w:rPr>
          <w:rFonts w:asciiTheme="majorHAnsi" w:eastAsia="DejaVu Sans" w:hAnsiTheme="majorHAnsi" w:cstheme="majorHAnsi"/>
          <w:b/>
          <w:kern w:val="2"/>
          <w:lang w:eastAsia="zh-CN" w:bidi="hi-IN"/>
        </w:rPr>
      </w:pPr>
    </w:p>
    <w:p w14:paraId="0611CF7D" w14:textId="77777777" w:rsidR="008E019A" w:rsidRDefault="002B490D">
      <w:pPr>
        <w:widowControl w:val="0"/>
        <w:jc w:val="center"/>
        <w:rPr>
          <w:rFonts w:asciiTheme="majorHAnsi" w:eastAsia="DejaVu Sans" w:hAnsiTheme="majorHAnsi" w:cstheme="majorHAnsi"/>
          <w:b/>
          <w:kern w:val="2"/>
          <w:lang w:eastAsia="zh-CN" w:bidi="hi-IN"/>
        </w:rPr>
      </w:pPr>
      <w:r>
        <w:rPr>
          <w:rFonts w:asciiTheme="majorHAnsi" w:eastAsia="DejaVu Sans" w:hAnsiTheme="majorHAnsi" w:cstheme="majorHAnsi"/>
          <w:b/>
          <w:kern w:val="2"/>
          <w:lang w:eastAsia="zh-CN" w:bidi="hi-IN"/>
        </w:rPr>
        <w:t>OPIS PRZEDMIOTU ZAMÓWIENIA</w:t>
      </w:r>
    </w:p>
    <w:p w14:paraId="74518FC0" w14:textId="77777777" w:rsidR="008E019A" w:rsidRDefault="002B490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kern w:val="2"/>
          <w:lang w:bidi="hi-IN"/>
        </w:rPr>
        <w:t xml:space="preserve">Świadczenie usługi cateringowej </w:t>
      </w:r>
      <w:r>
        <w:rPr>
          <w:rFonts w:asciiTheme="majorHAnsi" w:eastAsia="Calibri" w:hAnsiTheme="majorHAnsi" w:cstheme="majorHAnsi"/>
          <w:b/>
        </w:rPr>
        <w:t xml:space="preserve">dla jednostek organizacyjnych </w:t>
      </w:r>
    </w:p>
    <w:p w14:paraId="7804B26E" w14:textId="77777777" w:rsidR="008E019A" w:rsidRDefault="002B490D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b/>
        </w:rPr>
        <w:t>Uniwersytetu Kazimierza Wielkiego w Bydgoszczy</w:t>
      </w:r>
    </w:p>
    <w:p w14:paraId="673E2590" w14:textId="77777777" w:rsidR="008E019A" w:rsidRDefault="008E019A">
      <w:pPr>
        <w:spacing w:line="240" w:lineRule="auto"/>
        <w:rPr>
          <w:sz w:val="20"/>
          <w:szCs w:val="20"/>
        </w:rPr>
      </w:pPr>
    </w:p>
    <w:p w14:paraId="4A04F984" w14:textId="77777777" w:rsidR="00622B6C" w:rsidRPr="006E1E72" w:rsidRDefault="00622B6C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09F">
        <w:rPr>
          <w:rFonts w:asciiTheme="majorHAnsi" w:hAnsiTheme="majorHAnsi"/>
          <w:sz w:val="20"/>
          <w:szCs w:val="20"/>
        </w:rPr>
        <w:t>Przedmiotem zamówienia jest</w:t>
      </w:r>
      <w:r w:rsidRPr="004F309F">
        <w:rPr>
          <w:rFonts w:asciiTheme="majorHAnsi" w:hAnsiTheme="majorHAnsi" w:cstheme="majorHAnsi"/>
          <w:sz w:val="20"/>
          <w:szCs w:val="20"/>
        </w:rPr>
        <w:t xml:space="preserve"> świadczenie usługi cateringowej dla Wydziału Literaturoznawstwa  Uniwersytetu Kazimierza Wielkiego w Bydgoszczy podczas konferencji naukowej pn.: </w:t>
      </w:r>
      <w:r w:rsidRPr="004F309F">
        <w:rPr>
          <w:rFonts w:ascii="Calibri" w:hAnsi="Calibri" w:cs="Calibri"/>
          <w:b/>
          <w:bCs/>
          <w:i/>
          <w:iCs/>
          <w:sz w:val="20"/>
          <w:szCs w:val="20"/>
        </w:rPr>
        <w:t>„Herbert odczytujący – Herbert odczytywany. Perspektywa anatomii w 100-lecie urodzin poety”, organizowanej przez Uniwersytet Kazimierza Wielkiego w Bydgoszczy w dniach 22-24 października 2024 r.</w:t>
      </w:r>
    </w:p>
    <w:p w14:paraId="3BE529E6" w14:textId="49E5640D" w:rsidR="00622B6C" w:rsidRPr="00181FDB" w:rsidRDefault="00622B6C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E1E72">
        <w:rPr>
          <w:rFonts w:ascii="Calibri" w:hAnsi="Calibri" w:cs="Calibri"/>
          <w:sz w:val="20"/>
          <w:szCs w:val="20"/>
        </w:rPr>
        <w:t xml:space="preserve">Przewidywana ilość uczestników konferencji </w:t>
      </w:r>
      <w:r w:rsidRPr="006E1E72">
        <w:rPr>
          <w:rFonts w:ascii="Calibri" w:hAnsi="Calibri" w:cs="Calibri"/>
          <w:b/>
          <w:bCs/>
          <w:sz w:val="20"/>
          <w:szCs w:val="20"/>
        </w:rPr>
        <w:t>– 90 osób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003C2B81" w14:textId="07A93382" w:rsidR="00181FDB" w:rsidRPr="00181FDB" w:rsidRDefault="00181FDB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Miejsce: </w:t>
      </w:r>
      <w:r w:rsidRPr="00181FDB">
        <w:rPr>
          <w:rFonts w:ascii="Calibri" w:hAnsi="Calibri" w:cs="Calibri"/>
          <w:sz w:val="20"/>
          <w:szCs w:val="20"/>
        </w:rPr>
        <w:t>Biblioteka Główna UKW, ul. Karola Szymanowskiego 3, 85-074 Bydgoszcz</w:t>
      </w:r>
    </w:p>
    <w:p w14:paraId="7B792404" w14:textId="77777777" w:rsidR="008E019A" w:rsidRPr="00622B6C" w:rsidRDefault="002B490D" w:rsidP="00622B6C">
      <w:pPr>
        <w:pStyle w:val="Akapitzlist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22B6C">
        <w:rPr>
          <w:rFonts w:cstheme="minorHAnsi"/>
          <w:b/>
          <w:sz w:val="20"/>
          <w:szCs w:val="20"/>
          <w:u w:val="single"/>
        </w:rPr>
        <w:t>Warunki szczegółowe</w:t>
      </w:r>
      <w:r w:rsidRPr="00622B6C">
        <w:rPr>
          <w:rFonts w:cstheme="minorHAnsi"/>
          <w:sz w:val="20"/>
          <w:szCs w:val="20"/>
        </w:rPr>
        <w:t>:</w:t>
      </w:r>
    </w:p>
    <w:p w14:paraId="71679DC5" w14:textId="0A34A4B7" w:rsidR="008E019A" w:rsidRDefault="002B490D">
      <w:pPr>
        <w:pStyle w:val="Akapitzlist"/>
        <w:numPr>
          <w:ilvl w:val="0"/>
          <w:numId w:val="5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Stoły koktajlowe</w:t>
      </w:r>
      <w:r>
        <w:rPr>
          <w:rFonts w:cstheme="minorHAnsi"/>
          <w:sz w:val="20"/>
          <w:szCs w:val="20"/>
        </w:rPr>
        <w:t xml:space="preserve">: z obrusami i dekoracją </w:t>
      </w:r>
      <w:r w:rsidR="00622B6C">
        <w:rPr>
          <w:rFonts w:cstheme="minorHAnsi"/>
          <w:sz w:val="20"/>
          <w:szCs w:val="20"/>
        </w:rPr>
        <w:t>przygotowane na min. 90 osób.</w:t>
      </w:r>
    </w:p>
    <w:p w14:paraId="2F1C7332" w14:textId="397899DB" w:rsidR="008E019A" w:rsidRDefault="002B490D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Obsługa kelnerska</w:t>
      </w:r>
      <w:r>
        <w:rPr>
          <w:rFonts w:cstheme="minorHAnsi"/>
          <w:sz w:val="20"/>
          <w:szCs w:val="20"/>
        </w:rPr>
        <w:t xml:space="preserve">: Obsługa kelnerska ubrana w jednakowe stroje stosowne do  uroczystości; </w:t>
      </w:r>
      <w:r w:rsidR="00622B6C">
        <w:rPr>
          <w:rFonts w:cstheme="minorHAnsi"/>
          <w:sz w:val="20"/>
          <w:szCs w:val="20"/>
        </w:rPr>
        <w:t xml:space="preserve">min. </w:t>
      </w:r>
      <w:r>
        <w:rPr>
          <w:rFonts w:cstheme="minorHAnsi"/>
          <w:sz w:val="20"/>
          <w:szCs w:val="20"/>
        </w:rPr>
        <w:t>2 kelnerów oraz 1 osoba nadzorująca, w razie potrzeby pełniąca funkcję obsługi kelnerskiej; 1 osoba ze znajomością języka angielskiego w stopniu komunikatywnym.</w:t>
      </w:r>
    </w:p>
    <w:p w14:paraId="717C1CE7" w14:textId="77777777" w:rsidR="008E019A" w:rsidRDefault="002B490D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Stoły bankietowe boczne do ekspozycji jedzenia </w:t>
      </w:r>
    </w:p>
    <w:p w14:paraId="416DBEA8" w14:textId="77777777" w:rsidR="008E019A" w:rsidRDefault="002B490D">
      <w:pPr>
        <w:pStyle w:val="Normalny1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Stoły cateringowe z obrusami i dekoracją  </w:t>
      </w:r>
    </w:p>
    <w:p w14:paraId="2A380CDF" w14:textId="209FC6C4" w:rsidR="008E019A" w:rsidRDefault="002B490D">
      <w:pPr>
        <w:pStyle w:val="Normalny1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Potrawy wyeksponowane w naczyniach ze szkła, porcelany i w metalowych etażerkach oraz z drewna dedykowanego do eksponowania potraw</w:t>
      </w:r>
    </w:p>
    <w:p w14:paraId="2C990F37" w14:textId="77777777" w:rsidR="00622B6C" w:rsidRDefault="00622B6C" w:rsidP="00622B6C">
      <w:pPr>
        <w:pStyle w:val="Normalny1"/>
        <w:spacing w:after="0"/>
        <w:ind w:left="720"/>
        <w:rPr>
          <w:rFonts w:cstheme="minorHAnsi"/>
          <w:sz w:val="20"/>
          <w:szCs w:val="20"/>
        </w:rPr>
      </w:pPr>
    </w:p>
    <w:p w14:paraId="435298AF" w14:textId="77777777" w:rsidR="008E019A" w:rsidRDefault="002B490D">
      <w:pPr>
        <w:pStyle w:val="Akapitzlist"/>
        <w:numPr>
          <w:ilvl w:val="0"/>
          <w:numId w:val="5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Stół kawowo-herbaciany + napoje zimne</w:t>
      </w:r>
    </w:p>
    <w:p w14:paraId="52B84AF6" w14:textId="77777777" w:rsidR="008E019A" w:rsidRDefault="002B490D" w:rsidP="00622B6C">
      <w:pPr>
        <w:pStyle w:val="Akapitzlist"/>
        <w:numPr>
          <w:ilvl w:val="0"/>
          <w:numId w:val="2"/>
        </w:numPr>
        <w:spacing w:after="0" w:line="276" w:lineRule="auto"/>
        <w:ind w:left="567" w:firstLine="567"/>
        <w:contextualSpacing w:val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Kawa z termosów cateringowych 5l</w:t>
      </w:r>
      <w:r>
        <w:rPr>
          <w:rFonts w:cstheme="minorHAnsi"/>
          <w:sz w:val="20"/>
          <w:szCs w:val="20"/>
        </w:rPr>
        <w:t xml:space="preserve"> – 3 stanowiska dostępne bez ograniczeń</w:t>
      </w:r>
    </w:p>
    <w:p w14:paraId="0320B3F6" w14:textId="77777777" w:rsidR="008E019A" w:rsidRDefault="002B490D" w:rsidP="00622B6C">
      <w:pPr>
        <w:pStyle w:val="Akapitzlist"/>
        <w:numPr>
          <w:ilvl w:val="0"/>
          <w:numId w:val="2"/>
        </w:numPr>
        <w:spacing w:after="0" w:line="276" w:lineRule="auto"/>
        <w:ind w:left="567" w:firstLine="567"/>
        <w:contextualSpacing w:val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woda wrząca w warniku 10l. dostępna bez ograniczeń</w:t>
      </w:r>
    </w:p>
    <w:p w14:paraId="18A489C2" w14:textId="77777777" w:rsidR="008E019A" w:rsidRDefault="002B490D" w:rsidP="00622B6C">
      <w:pPr>
        <w:pStyle w:val="Akapitzlist"/>
        <w:numPr>
          <w:ilvl w:val="0"/>
          <w:numId w:val="2"/>
        </w:numPr>
        <w:spacing w:after="200" w:line="276" w:lineRule="auto"/>
        <w:ind w:left="567" w:firstLine="567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Porcelana, szkło do zimnych napojów, sztućce metalowe</w:t>
      </w:r>
    </w:p>
    <w:p w14:paraId="399C9107" w14:textId="343DD74C" w:rsidR="008E019A" w:rsidRPr="00622B6C" w:rsidRDefault="002B490D" w:rsidP="00622B6C">
      <w:pPr>
        <w:pStyle w:val="Akapitzlist"/>
        <w:numPr>
          <w:ilvl w:val="0"/>
          <w:numId w:val="5"/>
        </w:numPr>
        <w:spacing w:after="200" w:line="276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 xml:space="preserve">Stół bufetowy </w:t>
      </w:r>
    </w:p>
    <w:p w14:paraId="637A33CF" w14:textId="16CEF049" w:rsidR="008E019A" w:rsidRPr="00622B6C" w:rsidRDefault="002B490D" w:rsidP="00622B6C">
      <w:pPr>
        <w:pStyle w:val="Akapitzlist"/>
        <w:numPr>
          <w:ilvl w:val="0"/>
          <w:numId w:val="4"/>
        </w:numPr>
        <w:spacing w:after="0" w:line="276" w:lineRule="auto"/>
        <w:ind w:left="993" w:firstLine="207"/>
        <w:contextualSpacing w:val="0"/>
        <w:rPr>
          <w:rFonts w:cstheme="minorHAnsi"/>
          <w:b/>
          <w:sz w:val="20"/>
          <w:szCs w:val="20"/>
          <w:u w:val="single"/>
        </w:rPr>
      </w:pPr>
      <w:r w:rsidRPr="00622B6C">
        <w:rPr>
          <w:rFonts w:cstheme="minorHAnsi"/>
          <w:sz w:val="20"/>
          <w:szCs w:val="20"/>
        </w:rPr>
        <w:t xml:space="preserve">Zimne przekąski </w:t>
      </w:r>
      <w:r w:rsidR="00622B6C" w:rsidRPr="00622B6C">
        <w:rPr>
          <w:rFonts w:cstheme="minorHAnsi"/>
          <w:sz w:val="20"/>
          <w:szCs w:val="20"/>
        </w:rPr>
        <w:t xml:space="preserve">– kanapki bankietowe, </w:t>
      </w:r>
      <w:r w:rsidRPr="00622B6C">
        <w:rPr>
          <w:rFonts w:cstheme="minorHAnsi"/>
          <w:sz w:val="20"/>
          <w:szCs w:val="20"/>
        </w:rPr>
        <w:t xml:space="preserve">wyeksponowane na półmiskach porcelanowych, </w:t>
      </w:r>
    </w:p>
    <w:p w14:paraId="1BE4CE61" w14:textId="77777777" w:rsidR="00622B6C" w:rsidRPr="00622B6C" w:rsidRDefault="00622B6C" w:rsidP="00622B6C">
      <w:pPr>
        <w:pStyle w:val="Akapitzlist"/>
        <w:spacing w:after="0" w:line="276" w:lineRule="auto"/>
        <w:ind w:left="1200"/>
        <w:contextualSpacing w:val="0"/>
        <w:rPr>
          <w:rFonts w:cstheme="minorHAnsi"/>
          <w:b/>
          <w:sz w:val="20"/>
          <w:szCs w:val="20"/>
          <w:u w:val="single"/>
        </w:rPr>
      </w:pPr>
    </w:p>
    <w:p w14:paraId="622285A8" w14:textId="77777777" w:rsidR="008E019A" w:rsidRDefault="002B490D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„Przerwa kawowa” obejmować będzie:</w:t>
      </w:r>
    </w:p>
    <w:p w14:paraId="616E68BA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- </w:t>
      </w:r>
      <w:r>
        <w:rPr>
          <w:rFonts w:eastAsia="Times New Roman" w:cstheme="minorHAnsi"/>
          <w:sz w:val="20"/>
          <w:szCs w:val="20"/>
        </w:rPr>
        <w:t>Napoje gorące: świeżo parzoną kawę o zawartości co najmniej: kawę, herbatę czarną, owocową, zieloną (wysokiej jakości bez zawartości cukrów, tłuszczów, błonnika oraz sodu), serwowane                                           w ekspresach ciśnieniowych, oznakowanych termosach lub warnikach, tj. kawa instant + wrzątek (co najmniej 450 ml na osobę), dodatki - mleko/mleczko, śmietanka, cukier, cytryna w plasterkach.</w:t>
      </w:r>
    </w:p>
    <w:p w14:paraId="63B49A95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Woda mineralna - gazowana i niegazowana w szklanej butelce, szklanych dzbankach lub dozownikach, co najmniej 500 ml na osobę, </w:t>
      </w:r>
    </w:p>
    <w:p w14:paraId="229B3F5D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Soki owocowe - 2 rodzaje soków 100%, serwowane w dzbankach szklanych lub szklanych butelkach (co najmniej 300 ml na osobę).</w:t>
      </w:r>
    </w:p>
    <w:p w14:paraId="38DAA894" w14:textId="77777777" w:rsidR="008E019A" w:rsidRDefault="002B490D">
      <w:pPr>
        <w:widowControl w:val="0"/>
        <w:spacing w:after="0" w:line="276" w:lineRule="auto"/>
        <w:ind w:left="36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</w:t>
      </w:r>
      <w:r>
        <w:rPr>
          <w:rFonts w:eastAsia="Times New Roman" w:cstheme="minorHAnsi"/>
          <w:sz w:val="20"/>
          <w:szCs w:val="20"/>
        </w:rPr>
        <w:t xml:space="preserve">  Ciastka kruche, tzw. susz konferencyjny (co najmniej 150g na osobę).</w:t>
      </w:r>
    </w:p>
    <w:p w14:paraId="137DE068" w14:textId="48A4CA48" w:rsidR="008E019A" w:rsidRDefault="002B490D" w:rsidP="00622B6C">
      <w:pPr>
        <w:widowControl w:val="0"/>
        <w:spacing w:after="0" w:line="276" w:lineRule="auto"/>
        <w:ind w:left="851" w:hanging="42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Owoce sezonowe – różne rodzaje </w:t>
      </w:r>
      <w:bookmarkStart w:id="0" w:name="_Hlk176342395"/>
      <w:r>
        <w:rPr>
          <w:rFonts w:eastAsia="Times New Roman" w:cstheme="minorHAnsi"/>
          <w:sz w:val="20"/>
          <w:szCs w:val="20"/>
        </w:rPr>
        <w:t>(co najmniej 150 g na osobę).</w:t>
      </w:r>
    </w:p>
    <w:bookmarkEnd w:id="0"/>
    <w:p w14:paraId="6492D634" w14:textId="3A608080" w:rsidR="00622B6C" w:rsidRDefault="00622B6C" w:rsidP="00622B6C">
      <w:pPr>
        <w:widowControl w:val="0"/>
        <w:spacing w:after="0" w:line="276" w:lineRule="auto"/>
        <w:ind w:left="851" w:hanging="42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Pr="00622B6C">
        <w:rPr>
          <w:rFonts w:cstheme="minorHAnsi"/>
          <w:sz w:val="20"/>
          <w:szCs w:val="20"/>
        </w:rPr>
        <w:t>Zimne przekąski – kanapki bankietowe</w:t>
      </w:r>
      <w:r>
        <w:rPr>
          <w:rFonts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(co najmniej </w:t>
      </w:r>
      <w:r>
        <w:rPr>
          <w:rFonts w:eastAsia="Times New Roman" w:cstheme="minorHAnsi"/>
          <w:sz w:val="20"/>
          <w:szCs w:val="20"/>
        </w:rPr>
        <w:t>300</w:t>
      </w:r>
      <w:r>
        <w:rPr>
          <w:rFonts w:eastAsia="Times New Roman" w:cstheme="minorHAnsi"/>
          <w:sz w:val="20"/>
          <w:szCs w:val="20"/>
        </w:rPr>
        <w:t xml:space="preserve"> g na osobę).</w:t>
      </w:r>
    </w:p>
    <w:p w14:paraId="2A054331" w14:textId="77777777" w:rsidR="008E019A" w:rsidRPr="00622B6C" w:rsidRDefault="008E019A" w:rsidP="00622B6C">
      <w:pPr>
        <w:rPr>
          <w:rFonts w:cstheme="minorHAnsi"/>
          <w:sz w:val="20"/>
          <w:szCs w:val="20"/>
        </w:rPr>
      </w:pPr>
    </w:p>
    <w:p w14:paraId="26EF6DAB" w14:textId="77777777" w:rsidR="008E019A" w:rsidRDefault="008E019A">
      <w:pPr>
        <w:pStyle w:val="Akapitzlist"/>
        <w:ind w:left="993"/>
        <w:rPr>
          <w:rFonts w:cstheme="minorHAnsi"/>
          <w:sz w:val="20"/>
          <w:szCs w:val="20"/>
        </w:rPr>
      </w:pPr>
    </w:p>
    <w:p w14:paraId="4A4EFBCF" w14:textId="4D22D6E2" w:rsidR="008E019A" w:rsidRPr="00622B6C" w:rsidRDefault="00622B6C" w:rsidP="00622B6C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Pozostałe wymagania</w:t>
      </w:r>
      <w:r w:rsidR="002B490D" w:rsidRPr="00622B6C">
        <w:rPr>
          <w:rFonts w:cstheme="minorHAnsi"/>
          <w:sz w:val="20"/>
          <w:szCs w:val="20"/>
        </w:rPr>
        <w:t>:</w:t>
      </w:r>
    </w:p>
    <w:p w14:paraId="531F0100" w14:textId="16EE6F41" w:rsidR="008E019A" w:rsidRDefault="002B490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zgodnie z Rozporządzeniem Parlamentu Europejskiego i Rady nr 1169/2011 z dnia 25 października 2011r. w sprawie przekazywania konsumentom informacji na temat żywności (Dz. Urz. UE nr L 304 z dnia 22 listopada 2011r.) powinien podać w menu lub kelner powinien być w stanie wyjaśnić co znajduje się w składzie potraw, jeżeli zawierają odpowiednie alergeny: gluten, skorupiaki, jaja, ryby, orzeszki ziemne, soję, mleko, orzechy, seler, gorczycę, nasiona sezamu, dwutlenek siarki, łubin, mięczaki.</w:t>
      </w:r>
    </w:p>
    <w:p w14:paraId="67763DCE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Zamawiający wymaga, aby dostarczone produkty żywnościowe były świeże, dania przyrządzone w dniu świadczenia usług cateringowych, kanapki bankietowe – tartinki podawane na świeżym pieczywie; produkty przetworzone takie jak: kawa, herbata, woda, soki itp. będą posiadać aktualną datę przydatności do spożycia. UWAGA: posiłki muszą być wykonane z naturalnych produktów metodą tradycyjną. Zamawiający nie dopuszcza produktów typu instant (poza kawą) (np. zupy w proszku itp.) oraz produktów gotowych (np. mrożone gołąbki, zrazy itp.) </w:t>
      </w:r>
    </w:p>
    <w:p w14:paraId="3E2DFBC0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Wszystkie posiłki zapewnione przez Wykonawcę muszą charakteryzować się wysoką jakością                                       w odniesieniu do użytych składników oraz estetyki podania. </w:t>
      </w:r>
    </w:p>
    <w:p w14:paraId="051FCE85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ponosi odpowiedzialność prawną i finansową w przypadku kontroli potraw serwowanych przez Wykonawcę, związaną z kontrolą Powiatowej Stacji </w:t>
      </w:r>
      <w:proofErr w:type="spellStart"/>
      <w:r>
        <w:rPr>
          <w:rFonts w:eastAsia="Times New Roman" w:cs="Calibri"/>
          <w:sz w:val="20"/>
          <w:szCs w:val="20"/>
        </w:rPr>
        <w:t>Sanitarno</w:t>
      </w:r>
      <w:proofErr w:type="spellEnd"/>
      <w:r>
        <w:rPr>
          <w:rFonts w:eastAsia="Times New Roman" w:cs="Calibri"/>
          <w:sz w:val="20"/>
          <w:szCs w:val="20"/>
        </w:rPr>
        <w:t xml:space="preserve"> Epidemiologicznej. Wykonawca będzie zobowiązany przechowywać próbki poszczególnych potraw zgodnie z art. 72 Ustawy z dnia 25 sierpnia 2006 r. o bezpieczeństwie żywności i żywienia (Dz. U. z 2020 r., poz. 2021) oraz aktami wykonawczymi do tej ustawy. </w:t>
      </w:r>
    </w:p>
    <w:p w14:paraId="304268A8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poniesie wszelkie koszty finansowe związane z przygotowaniem posiłków stanowiących próbki dla Powiatowej Stacji Sanitarno-Epidemiologicznej. Obowiązkiem Wykonawcy będzie przechowywanie próbek potraw ze wszystkich wykonanych i dostarczonych w ramach wykonania przedmiotu Zamówienia potraw, przez okres 72 h (siedemdziesięciu dwóch godzin) od momentu ich wytworzenia z oznaczeniem daty, godziny, zawartości próbki opatrzonej podpisem osoby odpowiedzialnej za pobieranie próbek. </w:t>
      </w:r>
    </w:p>
    <w:p w14:paraId="7EB5D28A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Podczas przygotowywania i dostarczania posiłków winny być zachowane wymogi sanitarno-epidemiologiczne w zakresie personelu i warunków produkcji. </w:t>
      </w:r>
    </w:p>
    <w:p w14:paraId="205AEC59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Zamawiający zastrzega sobie możliwość kontroli miejsca przygotowywania posiłków u Wykonawcy w trakcie realizacji Umowy. </w:t>
      </w:r>
    </w:p>
    <w:p w14:paraId="5B29E1AE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Wszystkie dania oraz napoje gorące podane zostaną w naczyniach ceramicznych/porcelanowych wielokrotnego użytku, napoje zimne serwowane będą w szklankach, do konsumpcji przygotowane zostaną sztućce ze stali nierdzewnej. Zastawa będzie czysta, nieuszkodzona (nie wyszczerbiona itp.), w jasnej kolorystyce, bez wzorów. Wszystko wysterylizowane, zgodnie z przepisami obowiązującymi w tym zakresie. Serwetki papierowe trójwarstwowe będą w jasnej kolorystyce, bez wzorów; obrusy białe, czyste, wyprasowane. Ilość elementów zastawy powinna odpowiadać ilości osób oraz ilości i rodzajów serwowanych dań. </w:t>
      </w:r>
      <w:r>
        <w:rPr>
          <w:rFonts w:eastAsia="Times New Roman" w:cs="Calibri"/>
          <w:b/>
          <w:bCs/>
          <w:sz w:val="20"/>
          <w:szCs w:val="20"/>
          <w:u w:val="single"/>
        </w:rPr>
        <w:t>UWAGA:</w:t>
      </w:r>
      <w:r>
        <w:rPr>
          <w:rFonts w:eastAsia="Times New Roman" w:cs="Calibri"/>
          <w:sz w:val="20"/>
          <w:szCs w:val="20"/>
        </w:rPr>
        <w:t xml:space="preserve"> posiłki nie będą podawane na zastawie plastikowej. Zamawiający nie dopuszcza również sztućców z tworzywa sztucznego oraz fabrycznych (np. tekturowych, plastikowych) opakowań w przypadku podawania produktów takich jak: cukier, mleko, soki. Zamawiający zastrzega sobie jednak prawo zmiany zastawy na bambusową, papierową lub plastikową oraz rodzaju opakowań w przypadku podawania produktów takich jak: cukier, mleko, soki o czym poinformuje wykonawcę w momencie składania zamówienia na obsługę konkretnej imprezy. </w:t>
      </w:r>
    </w:p>
    <w:p w14:paraId="70C3B7C2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Brudne naczynia i resztki posiłku należy zbierać w miarę możliwości, w czasie trwania konsumpcji lub po jej zakończeniu. </w:t>
      </w:r>
    </w:p>
    <w:p w14:paraId="0720EAD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zapewnia transport, dostarczenie usługi na miejsce jej świadczenia i rozstawienie stołów, zastawy i sprzętu niezbędnego do świadczenia usługi na minimum 60 min. przed danym spotkaniem, w sposób uzgodniony z Zamawiającym. </w:t>
      </w:r>
    </w:p>
    <w:p w14:paraId="14DDBCBB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dostarcza ciepłe posiłki na minimum 30 min. przed rozpoczęciem spotkania                            i zapewnia utrzymanie właściwej temperatury posiłków do momentu spożycia. </w:t>
      </w:r>
    </w:p>
    <w:p w14:paraId="199E1320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lastRenderedPageBreak/>
        <w:t xml:space="preserve">Wykonawca zapewnia obsługę techniczną (kelnerską) w zakresie przygotowania, podawania posiłków, uprzątnięcia i odbioru resztek, w ilości wystarczającej do sprawnej i płynnej obsługi uczestników poszczególnego zamówienia. </w:t>
      </w:r>
    </w:p>
    <w:p w14:paraId="6050672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792034F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eastAsia="Times New Roman" w:cs="Calibri"/>
          <w:sz w:val="20"/>
          <w:szCs w:val="20"/>
        </w:rPr>
        <w:t>Miejsce, w którym będzie organizowane spotkanie, pozostanie uporządkowane i sprzątnięte poprzez usunięcie i utylizację śmieci, a ewentualne uszkodzenia naprawione w sposób uzgodniony                           z Zamawiającym</w:t>
      </w:r>
      <w:r>
        <w:rPr>
          <w:rFonts w:eastAsia="Times New Roman" w:cs="Calibri"/>
        </w:rPr>
        <w:t>.</w:t>
      </w:r>
    </w:p>
    <w:p w14:paraId="0795B3C3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</w:rPr>
        <w:t>Wykonawca zapewnia kosze na śmieci, a następnie usunięcie i wywóz odpadów na swój koszt.</w:t>
      </w:r>
      <w:r>
        <w:rPr>
          <w:rFonts w:eastAsia="Times New Roman" w:cs="Calibri"/>
          <w:sz w:val="20"/>
          <w:szCs w:val="20"/>
          <w:u w:val="single"/>
        </w:rPr>
        <w:t xml:space="preserve"> </w:t>
      </w:r>
    </w:p>
    <w:p w14:paraId="151DECF3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zapewnia stoliki koktajlowe w pokrowcach typu klepsydra w białym lub czarnym kolorze, z ewentualnymi ozdobami.</w:t>
      </w:r>
    </w:p>
    <w:p w14:paraId="3817E71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Bielizna gastronomiczna będzie czysta, w stonowanych barwach, nieuszkodzona, wysterylizowana i wyprasowana, zgodnie z przepisami obowiązującymi w tym zakresie. </w:t>
      </w:r>
    </w:p>
    <w:p w14:paraId="08093BC5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Obsługa będzie świadczona na wysokim poziomie, zgodnie z zachowaniem powszechnie obowiązujących norm kultury i zasad współżycia społecznego. </w:t>
      </w:r>
    </w:p>
    <w:p w14:paraId="6546A2F2" w14:textId="77777777" w:rsidR="008E019A" w:rsidRDefault="002B49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Pracownicy wykonujący bezpośrednio obsługę kelnerską będą ubrani w jednakowe ubrania w stonowanym kolorze. Ubiór ten będzie spełniać wszystkie wymagane standardy, tzn. będzie czysty, schludny, estetyczny oraz dostosowany do rangi wydarzenia. Obsługa kelnerska musi znać skład serwowanych dań. </w:t>
      </w:r>
    </w:p>
    <w:p w14:paraId="61E60876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Każda z osób wchodzących w skład obsługi kelnerskiej musi posiadać ważną książeczkę </w:t>
      </w:r>
      <w:proofErr w:type="spellStart"/>
      <w:r>
        <w:rPr>
          <w:rFonts w:eastAsia="Times New Roman" w:cs="Calibri"/>
          <w:sz w:val="20"/>
          <w:szCs w:val="20"/>
        </w:rPr>
        <w:t>sanitarno</w:t>
      </w:r>
      <w:proofErr w:type="spellEnd"/>
      <w:r>
        <w:rPr>
          <w:rFonts w:eastAsia="Times New Roman" w:cs="Calibri"/>
          <w:sz w:val="20"/>
          <w:szCs w:val="20"/>
        </w:rPr>
        <w:t xml:space="preserve"> – epidemiologiczną. </w:t>
      </w:r>
    </w:p>
    <w:p w14:paraId="50DF7BF2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28A2CE0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świadczenia ww. usług Wykonawca użyje środków zabezpieczonych we własnym zakresie. </w:t>
      </w:r>
    </w:p>
    <w:p w14:paraId="08C6B797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Podane gramatury dotyczą dań i posiłków po obróbce termicznej i mają charakter informacyjno-poglądowy.</w:t>
      </w:r>
    </w:p>
    <w:p w14:paraId="4A7DD58D" w14:textId="77777777" w:rsidR="008E019A" w:rsidRDefault="002B490D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Wykonawca zobowiązany jest zapewnić transport żywności w odpowiednich pojemnikach, odpowiednio przystosowanym, zgodnie z obowiązującym prawem, środkiem transportu do przewozu żywności.</w:t>
      </w:r>
    </w:p>
    <w:p w14:paraId="587656D1" w14:textId="77777777" w:rsidR="008E019A" w:rsidRDefault="008E019A">
      <w:pPr>
        <w:pStyle w:val="Akapitzlist"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p w14:paraId="4EED6C89" w14:textId="77777777" w:rsidR="008E019A" w:rsidRDefault="008E019A">
      <w:pPr>
        <w:pStyle w:val="Akapitzlist"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sectPr w:rsidR="008E01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93F"/>
    <w:multiLevelType w:val="multilevel"/>
    <w:tmpl w:val="873233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CD14E0"/>
    <w:multiLevelType w:val="multilevel"/>
    <w:tmpl w:val="29169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2" w15:restartNumberingAfterBreak="0">
    <w:nsid w:val="151E6331"/>
    <w:multiLevelType w:val="multilevel"/>
    <w:tmpl w:val="2B0E1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721D22"/>
    <w:multiLevelType w:val="multilevel"/>
    <w:tmpl w:val="BCD86088"/>
    <w:lvl w:ilvl="0">
      <w:start w:val="1"/>
      <w:numFmt w:val="lowerLetter"/>
      <w:lvlText w:val="%1)"/>
      <w:lvlJc w:val="left"/>
      <w:pPr>
        <w:tabs>
          <w:tab w:val="num" w:pos="0"/>
        </w:tabs>
        <w:ind w:left="108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C00F62"/>
    <w:multiLevelType w:val="multilevel"/>
    <w:tmpl w:val="9530F2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9849A8"/>
    <w:multiLevelType w:val="multilevel"/>
    <w:tmpl w:val="E05EF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6B159BF"/>
    <w:multiLevelType w:val="multilevel"/>
    <w:tmpl w:val="673A9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FD64A0"/>
    <w:multiLevelType w:val="multilevel"/>
    <w:tmpl w:val="2676DE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10CBD"/>
    <w:multiLevelType w:val="multilevel"/>
    <w:tmpl w:val="DCF8C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824227"/>
    <w:multiLevelType w:val="multilevel"/>
    <w:tmpl w:val="458092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52210A2A"/>
    <w:multiLevelType w:val="multilevel"/>
    <w:tmpl w:val="4418D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55178C"/>
    <w:multiLevelType w:val="multilevel"/>
    <w:tmpl w:val="8D28D3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9A"/>
    <w:rsid w:val="00181FDB"/>
    <w:rsid w:val="002B490D"/>
    <w:rsid w:val="00622B6C"/>
    <w:rsid w:val="008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9B8"/>
  <w15:docId w15:val="{BEEB6617-41C7-4485-856C-5FCE6EC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9308F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9308F1"/>
    <w:pPr>
      <w:ind w:left="720"/>
      <w:contextualSpacing/>
    </w:pPr>
  </w:style>
  <w:style w:type="paragraph" w:customStyle="1" w:styleId="Normalny1">
    <w:name w:val="Normalny1"/>
    <w:qFormat/>
    <w:rsid w:val="009308F1"/>
    <w:pPr>
      <w:spacing w:after="200" w:line="276" w:lineRule="auto"/>
      <w:textAlignment w:val="baseline"/>
    </w:pPr>
    <w:rPr>
      <w:rFonts w:eastAsia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9B32-E5C9-4453-AD14-5BAF686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1264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p</cp:lastModifiedBy>
  <cp:revision>3</cp:revision>
  <cp:lastPrinted>2023-04-28T02:11:00Z</cp:lastPrinted>
  <dcterms:created xsi:type="dcterms:W3CDTF">2024-09-04T09:42:00Z</dcterms:created>
  <dcterms:modified xsi:type="dcterms:W3CDTF">2024-09-04T10:03:00Z</dcterms:modified>
  <dc:language>pl-PL</dc:language>
</cp:coreProperties>
</file>