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2DBC99C6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C209E">
        <w:rPr>
          <w:rFonts w:ascii="Arial" w:hAnsi="Arial" w:cs="Arial"/>
          <w:b/>
          <w:bCs/>
          <w:sz w:val="20"/>
          <w:szCs w:val="20"/>
        </w:rPr>
        <w:t>20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Pzp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18B31EC1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3C209E" w:rsidRPr="003C209E">
        <w:rPr>
          <w:rFonts w:ascii="Arial" w:hAnsi="Arial" w:cs="Arial"/>
          <w:b/>
          <w:bCs/>
          <w:sz w:val="21"/>
          <w:szCs w:val="21"/>
        </w:rPr>
        <w:t>Dostawa materiałów opatrunkowych, pieluchomajtek i pieluszek dla niemowląt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C209E">
        <w:rPr>
          <w:rFonts w:ascii="Arial" w:hAnsi="Arial" w:cs="Arial"/>
          <w:b/>
          <w:bCs/>
          <w:sz w:val="21"/>
          <w:szCs w:val="21"/>
        </w:rPr>
        <w:t>20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7353827D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62</cp:revision>
  <cp:lastPrinted>2022-05-24T06:58:00Z</cp:lastPrinted>
  <dcterms:created xsi:type="dcterms:W3CDTF">2019-10-07T07:44:00Z</dcterms:created>
  <dcterms:modified xsi:type="dcterms:W3CDTF">2022-08-19T06:29:00Z</dcterms:modified>
</cp:coreProperties>
</file>