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6F" w:rsidRDefault="00FD716F" w:rsidP="00FD716F">
      <w:pPr>
        <w:keepNext/>
        <w:ind w:left="360"/>
        <w:jc w:val="right"/>
        <w:outlineLvl w:val="0"/>
        <w:rPr>
          <w:b/>
        </w:rPr>
      </w:pPr>
      <w:r>
        <w:rPr>
          <w:b/>
        </w:rPr>
        <w:t>Załącznik nr 3</w:t>
      </w:r>
    </w:p>
    <w:p w:rsidR="00FD716F" w:rsidRDefault="00FD716F" w:rsidP="0073682A">
      <w:pPr>
        <w:keepNext/>
        <w:ind w:left="360"/>
        <w:jc w:val="center"/>
        <w:outlineLvl w:val="0"/>
        <w:rPr>
          <w:b/>
        </w:rPr>
      </w:pPr>
      <w:r>
        <w:rPr>
          <w:b/>
        </w:rPr>
        <w:t>Propozycja istotnych postanowień umowy</w:t>
      </w:r>
    </w:p>
    <w:p w:rsidR="0073682A" w:rsidRPr="003C1941" w:rsidRDefault="0073682A" w:rsidP="0073682A">
      <w:pPr>
        <w:keepNext/>
        <w:ind w:left="360"/>
        <w:jc w:val="center"/>
        <w:outlineLvl w:val="0"/>
        <w:rPr>
          <w:b/>
        </w:rPr>
      </w:pPr>
      <w:r w:rsidRPr="003C1941">
        <w:rPr>
          <w:b/>
        </w:rPr>
        <w:t xml:space="preserve">UMOWA nr </w:t>
      </w:r>
      <w:r w:rsidRPr="003C1941">
        <w:t>.</w:t>
      </w:r>
      <w:r w:rsidRPr="00FD716F">
        <w:rPr>
          <w:b/>
        </w:rPr>
        <w:t>.....</w:t>
      </w:r>
      <w:r w:rsidR="00FD716F" w:rsidRPr="00FD716F">
        <w:rPr>
          <w:b/>
        </w:rPr>
        <w:t>/4WSzKzP.SZP.2612.74.2021</w:t>
      </w:r>
    </w:p>
    <w:p w:rsidR="0073682A" w:rsidRPr="003C1941" w:rsidRDefault="0073682A" w:rsidP="0073682A">
      <w:pPr>
        <w:jc w:val="center"/>
      </w:pPr>
    </w:p>
    <w:p w:rsidR="0073682A" w:rsidRPr="003C1941" w:rsidRDefault="0073682A" w:rsidP="0073682A">
      <w:pPr>
        <w:ind w:left="284"/>
        <w:jc w:val="both"/>
      </w:pPr>
      <w:r w:rsidRPr="003C1941">
        <w:t>Zawarta w dniu ................2021 r. we Wrocławiu pomiędzy:</w:t>
      </w:r>
    </w:p>
    <w:p w:rsidR="0073682A" w:rsidRPr="003C1941" w:rsidRDefault="0073682A" w:rsidP="0073682A">
      <w:pPr>
        <w:ind w:left="284"/>
        <w:jc w:val="both"/>
      </w:pPr>
      <w:r w:rsidRPr="003C1941">
        <w:rPr>
          <w:b/>
        </w:rPr>
        <w:t xml:space="preserve">4 Wojskowym Szpitalem Klinicznym z Polikliniką Samodzielnym Publicznym Zakładem Opieki Zdrowotnej, </w:t>
      </w:r>
      <w:r w:rsidRPr="003C1941">
        <w:t xml:space="preserve">z siedzibą </w:t>
      </w:r>
      <w:r w:rsidRPr="003C1941">
        <w:rPr>
          <w:b/>
        </w:rPr>
        <w:t>50-981 Wrocław, ul. Weigla 5, Regon</w:t>
      </w:r>
      <w:r w:rsidRPr="003C1941">
        <w:t xml:space="preserve"> 930090240, </w:t>
      </w:r>
      <w:r w:rsidRPr="003C1941">
        <w:rPr>
          <w:b/>
        </w:rPr>
        <w:t>NIP</w:t>
      </w:r>
      <w:r w:rsidRPr="003C1941">
        <w:t xml:space="preserve"> 899-22-28</w:t>
      </w:r>
      <w:r>
        <w:t xml:space="preserve">-956, </w:t>
      </w:r>
      <w:r w:rsidRPr="003C1941">
        <w:t>zarejestrowanym w Sądzie Rejonowym dla Wrocławia – Fabrycznej, VI Wydział Gospodarczy,</w:t>
      </w:r>
      <w:r>
        <w:t xml:space="preserve"> </w:t>
      </w:r>
      <w:r w:rsidRPr="003C1941">
        <w:t xml:space="preserve">nr </w:t>
      </w:r>
      <w:r w:rsidRPr="003C1941">
        <w:rPr>
          <w:b/>
        </w:rPr>
        <w:t>KRS</w:t>
      </w:r>
      <w:r w:rsidRPr="003C1941">
        <w:t>: 0000016478 reprezentowanym przez:</w:t>
      </w:r>
    </w:p>
    <w:p w:rsidR="0073682A" w:rsidRPr="00A71D55" w:rsidRDefault="0073682A" w:rsidP="0073682A">
      <w:pPr>
        <w:tabs>
          <w:tab w:val="num" w:pos="360"/>
        </w:tabs>
        <w:ind w:left="284"/>
        <w:jc w:val="both"/>
      </w:pPr>
    </w:p>
    <w:p w:rsidR="0073682A" w:rsidRPr="00A71D55" w:rsidRDefault="0073682A" w:rsidP="0073682A">
      <w:pPr>
        <w:tabs>
          <w:tab w:val="num" w:pos="360"/>
        </w:tabs>
        <w:ind w:left="284"/>
        <w:jc w:val="both"/>
        <w:rPr>
          <w:sz w:val="32"/>
        </w:rPr>
      </w:pPr>
      <w:r w:rsidRPr="00A71D55">
        <w:t>……………………………………………………</w:t>
      </w:r>
      <w:r w:rsidRPr="00A71D55">
        <w:rPr>
          <w:sz w:val="32"/>
        </w:rPr>
        <w:t xml:space="preserve"> </w:t>
      </w:r>
    </w:p>
    <w:p w:rsidR="0073682A" w:rsidRPr="003C1941" w:rsidRDefault="0073682A" w:rsidP="0073682A">
      <w:pPr>
        <w:tabs>
          <w:tab w:val="num" w:pos="360"/>
        </w:tabs>
        <w:ind w:left="284"/>
        <w:jc w:val="both"/>
        <w:rPr>
          <w:b/>
        </w:rPr>
      </w:pPr>
      <w:r w:rsidRPr="003C1941">
        <w:t xml:space="preserve">zwanym w treści umowy </w:t>
      </w:r>
      <w:r w:rsidRPr="003C1941">
        <w:rPr>
          <w:b/>
        </w:rPr>
        <w:t>ZAMAWIAJĄCYM</w:t>
      </w:r>
    </w:p>
    <w:p w:rsidR="0073682A" w:rsidRPr="003C1941" w:rsidRDefault="0073682A" w:rsidP="0073682A">
      <w:pPr>
        <w:ind w:left="284"/>
        <w:jc w:val="both"/>
      </w:pPr>
      <w:r w:rsidRPr="003C1941">
        <w:t xml:space="preserve">a </w:t>
      </w:r>
    </w:p>
    <w:p w:rsidR="0073682A" w:rsidRDefault="0073682A" w:rsidP="0073682A">
      <w:pPr>
        <w:ind w:left="284"/>
        <w:jc w:val="both"/>
      </w:pPr>
    </w:p>
    <w:p w:rsidR="0073682A" w:rsidRPr="003C1941" w:rsidRDefault="0073682A" w:rsidP="0073682A">
      <w:pPr>
        <w:ind w:left="284"/>
        <w:jc w:val="both"/>
      </w:pPr>
      <w:r w:rsidRPr="003C1941">
        <w:t>................................................................. z siedzibą ..................................................</w:t>
      </w:r>
    </w:p>
    <w:p w:rsidR="0073682A" w:rsidRPr="003C1941" w:rsidRDefault="0073682A" w:rsidP="0073682A">
      <w:pPr>
        <w:ind w:left="284"/>
        <w:jc w:val="both"/>
      </w:pPr>
    </w:p>
    <w:p w:rsidR="0073682A" w:rsidRPr="003C1941" w:rsidRDefault="0073682A" w:rsidP="0073682A">
      <w:pPr>
        <w:ind w:firstLine="284"/>
      </w:pPr>
      <w:r w:rsidRPr="003C1941">
        <w:rPr>
          <w:b/>
        </w:rPr>
        <w:t>Regon</w:t>
      </w:r>
      <w:r w:rsidRPr="003C1941">
        <w:t xml:space="preserve"> ......................., </w:t>
      </w:r>
      <w:r w:rsidRPr="003C1941">
        <w:rPr>
          <w:b/>
        </w:rPr>
        <w:t>NIP</w:t>
      </w:r>
      <w:r w:rsidRPr="003C1941">
        <w:t xml:space="preserve"> ......................... </w:t>
      </w:r>
    </w:p>
    <w:p w:rsidR="0073682A" w:rsidRPr="003C1941" w:rsidRDefault="0073682A" w:rsidP="0073682A">
      <w:pPr>
        <w:ind w:left="284"/>
        <w:jc w:val="both"/>
      </w:pPr>
      <w:r w:rsidRPr="003C1941">
        <w:t>reprezentowanym przez:</w:t>
      </w:r>
    </w:p>
    <w:p w:rsidR="0073682A" w:rsidRPr="003C1941" w:rsidRDefault="0073682A" w:rsidP="0073682A">
      <w:pPr>
        <w:ind w:left="284"/>
        <w:jc w:val="both"/>
      </w:pPr>
    </w:p>
    <w:p w:rsidR="0073682A" w:rsidRPr="003C1941" w:rsidRDefault="0073682A" w:rsidP="0073682A">
      <w:pPr>
        <w:ind w:left="284"/>
        <w:jc w:val="both"/>
      </w:pPr>
      <w:r w:rsidRPr="003C1941">
        <w:t>...............................................................................</w:t>
      </w:r>
    </w:p>
    <w:p w:rsidR="0073682A" w:rsidRPr="003C1941" w:rsidRDefault="0073682A" w:rsidP="0073682A">
      <w:pPr>
        <w:ind w:left="284"/>
        <w:jc w:val="both"/>
      </w:pPr>
    </w:p>
    <w:p w:rsidR="0073682A" w:rsidRDefault="0073682A" w:rsidP="0073682A">
      <w:pPr>
        <w:ind w:left="284"/>
        <w:jc w:val="both"/>
      </w:pPr>
      <w:r w:rsidRPr="003C1941">
        <w:t>...............................................................................</w:t>
      </w:r>
    </w:p>
    <w:p w:rsidR="0073682A" w:rsidRDefault="0073682A" w:rsidP="0073682A">
      <w:pPr>
        <w:ind w:left="284"/>
        <w:jc w:val="both"/>
      </w:pPr>
    </w:p>
    <w:p w:rsidR="0073682A" w:rsidRPr="003C1941" w:rsidRDefault="0073682A" w:rsidP="0073682A">
      <w:pPr>
        <w:ind w:left="284"/>
        <w:jc w:val="both"/>
      </w:pPr>
      <w:r w:rsidRPr="003C1941">
        <w:t xml:space="preserve">zwanym w treści umowy </w:t>
      </w:r>
      <w:r w:rsidRPr="003C1941">
        <w:rPr>
          <w:b/>
        </w:rPr>
        <w:t>WYKONAWCĄ,</w:t>
      </w:r>
      <w:r w:rsidRPr="003C1941">
        <w:t xml:space="preserve"> </w:t>
      </w:r>
    </w:p>
    <w:p w:rsidR="00F773FE" w:rsidRPr="00D52060" w:rsidRDefault="00F773FE" w:rsidP="00F773FE">
      <w:pPr>
        <w:spacing w:line="276" w:lineRule="auto"/>
        <w:jc w:val="both"/>
      </w:pPr>
    </w:p>
    <w:p w:rsidR="0073682A" w:rsidRPr="003C1941" w:rsidRDefault="0073682A" w:rsidP="0073682A">
      <w:pPr>
        <w:pStyle w:val="Bezodstpw"/>
        <w:spacing w:line="276" w:lineRule="auto"/>
        <w:ind w:firstLine="708"/>
        <w:jc w:val="both"/>
        <w:rPr>
          <w:rFonts w:eastAsia="Calibri"/>
          <w:lang w:eastAsia="en-US"/>
        </w:rPr>
      </w:pPr>
      <w:r w:rsidRPr="003C1941">
        <w:rPr>
          <w:rFonts w:eastAsia="Calibri"/>
          <w:lang w:eastAsia="en-US"/>
        </w:rPr>
        <w:t>Niniejsza umowa jest następstwem przeprowadzonego postępowania w trybie podstawowym poniżej 139 000 Euro na podstawie art. 27</w:t>
      </w:r>
      <w:r>
        <w:rPr>
          <w:rFonts w:eastAsia="Calibri"/>
          <w:lang w:eastAsia="en-US"/>
        </w:rPr>
        <w:t xml:space="preserve">5 ustawy </w:t>
      </w:r>
      <w:r w:rsidRPr="003C1941">
        <w:rPr>
          <w:rFonts w:eastAsia="Calibri"/>
          <w:lang w:eastAsia="en-US"/>
        </w:rPr>
        <w:t xml:space="preserve">z dnia </w:t>
      </w:r>
      <w:r w:rsidRPr="003C1941">
        <w:t>11 września 2019 r. Prawo zamówień publicznych (Dz. U. z 2019 r. poz. 2019 ze zm.) - dalej PZP</w:t>
      </w:r>
      <w:r w:rsidRPr="003C1941">
        <w:rPr>
          <w:rFonts w:eastAsia="Calibri"/>
          <w:lang w:eastAsia="en-US"/>
        </w:rPr>
        <w:t>. Umowę będzie uznawało się za zawartą w dacie wymienionej we wstępie umowy.</w:t>
      </w:r>
    </w:p>
    <w:p w:rsidR="00F773FE" w:rsidRPr="00D52060" w:rsidRDefault="00F773FE" w:rsidP="00F773FE">
      <w:pPr>
        <w:spacing w:line="276" w:lineRule="auto"/>
        <w:jc w:val="center"/>
        <w:rPr>
          <w:b/>
        </w:rPr>
      </w:pPr>
    </w:p>
    <w:p w:rsidR="00F773FE" w:rsidRPr="00D52060" w:rsidRDefault="00F773FE" w:rsidP="00F773FE">
      <w:pPr>
        <w:spacing w:line="276" w:lineRule="auto"/>
        <w:jc w:val="center"/>
        <w:rPr>
          <w:b/>
        </w:rPr>
      </w:pPr>
      <w:r w:rsidRPr="00D52060">
        <w:rPr>
          <w:b/>
        </w:rPr>
        <w:t xml:space="preserve">§ 1 </w:t>
      </w:r>
    </w:p>
    <w:p w:rsidR="00F773FE" w:rsidRPr="0073682A" w:rsidRDefault="0073682A" w:rsidP="00F773FE">
      <w:pPr>
        <w:spacing w:line="276" w:lineRule="auto"/>
        <w:jc w:val="center"/>
        <w:rPr>
          <w:b/>
        </w:rPr>
      </w:pPr>
      <w:r w:rsidRPr="0073682A">
        <w:rPr>
          <w:b/>
        </w:rPr>
        <w:t>Przedmiot umowy</w:t>
      </w:r>
    </w:p>
    <w:p w:rsidR="00562B09" w:rsidRDefault="0073682A" w:rsidP="0073682A">
      <w:pPr>
        <w:numPr>
          <w:ilvl w:val="0"/>
          <w:numId w:val="11"/>
        </w:numPr>
        <w:ind w:left="426"/>
        <w:jc w:val="both"/>
      </w:pPr>
      <w:r w:rsidRPr="003C1941">
        <w:t>Pr</w:t>
      </w:r>
      <w:r w:rsidR="00562B09">
        <w:t>zedmiotem niniejszej umowy jest:</w:t>
      </w:r>
    </w:p>
    <w:p w:rsidR="00562B09" w:rsidRPr="00562B09" w:rsidRDefault="00562B09" w:rsidP="00562B09">
      <w:pPr>
        <w:ind w:left="426"/>
        <w:jc w:val="both"/>
      </w:pPr>
      <w:r w:rsidRPr="00562B09">
        <w:t xml:space="preserve">- w zakresie Pakietu 1 – </w:t>
      </w:r>
      <w:r w:rsidRPr="00562B09">
        <w:rPr>
          <w:b/>
        </w:rPr>
        <w:t xml:space="preserve">system </w:t>
      </w:r>
      <w:r>
        <w:rPr>
          <w:b/>
        </w:rPr>
        <w:t>kopi bezpieczeństwa wraz z wdrożeniem i szkoleniem</w:t>
      </w:r>
      <w:r w:rsidRPr="00562B09">
        <w:t>,</w:t>
      </w:r>
    </w:p>
    <w:p w:rsidR="00562B09" w:rsidRPr="00562B09" w:rsidRDefault="00562B09" w:rsidP="00562B09">
      <w:pPr>
        <w:ind w:left="426"/>
        <w:jc w:val="both"/>
      </w:pPr>
      <w:r w:rsidRPr="00562B09">
        <w:t xml:space="preserve">- w zakresie Pakietu 2 - </w:t>
      </w:r>
      <w:r w:rsidRPr="00562B09">
        <w:rPr>
          <w:b/>
        </w:rPr>
        <w:t xml:space="preserve">Rozbudowa posiadanego systemu </w:t>
      </w:r>
      <w:proofErr w:type="spellStart"/>
      <w:r w:rsidRPr="00562B09">
        <w:rPr>
          <w:b/>
        </w:rPr>
        <w:t>ManageEngine</w:t>
      </w:r>
      <w:proofErr w:type="spellEnd"/>
      <w:r w:rsidRPr="00562B09">
        <w:rPr>
          <w:b/>
        </w:rPr>
        <w:t xml:space="preserve"> </w:t>
      </w:r>
      <w:proofErr w:type="spellStart"/>
      <w:r w:rsidRPr="00562B09">
        <w:rPr>
          <w:b/>
        </w:rPr>
        <w:t>ADSelfeService</w:t>
      </w:r>
      <w:proofErr w:type="spellEnd"/>
      <w:r w:rsidRPr="00562B09">
        <w:rPr>
          <w:b/>
        </w:rPr>
        <w:t xml:space="preserve"> Plus - lic. wieczysta na 2000 użytkowników wraz z 3 letnim dostępem do serwisu i aktualizacji</w:t>
      </w:r>
      <w:r w:rsidRPr="00562B09">
        <w:t>.</w:t>
      </w:r>
    </w:p>
    <w:p w:rsidR="0073682A" w:rsidRPr="00562B09" w:rsidRDefault="00562B09" w:rsidP="00562B09">
      <w:pPr>
        <w:ind w:left="426"/>
        <w:jc w:val="both"/>
      </w:pPr>
      <w:r w:rsidRPr="00562B09">
        <w:t xml:space="preserve">Szczegółowy opis znajduje się </w:t>
      </w:r>
      <w:r w:rsidR="00FD716F">
        <w:t xml:space="preserve">w </w:t>
      </w:r>
      <w:r w:rsidR="00FD716F" w:rsidRPr="00D52060">
        <w:rPr>
          <w:b/>
        </w:rPr>
        <w:t>§</w:t>
      </w:r>
      <w:r w:rsidR="0073682A" w:rsidRPr="00562B09">
        <w:t xml:space="preserve"> nr </w:t>
      </w:r>
      <w:r w:rsidR="0073682A" w:rsidRPr="00FD716F">
        <w:rPr>
          <w:b/>
        </w:rPr>
        <w:t>1</w:t>
      </w:r>
      <w:r w:rsidR="00FD716F" w:rsidRPr="00FD716F">
        <w:rPr>
          <w:b/>
        </w:rPr>
        <w:t>1</w:t>
      </w:r>
      <w:r w:rsidR="00FD716F">
        <w:t xml:space="preserve"> </w:t>
      </w:r>
      <w:r w:rsidR="0073682A" w:rsidRPr="00562B09">
        <w:t>umowy (przygotowanym zgodnie</w:t>
      </w:r>
      <w:r w:rsidRPr="00562B09">
        <w:t xml:space="preserve"> </w:t>
      </w:r>
      <w:r w:rsidR="0073682A" w:rsidRPr="00562B09">
        <w:t>z ofertą stanowiącą załącznik nr …. do SWZ) zwanych dalej przedmiotem umowy lub towarem.</w:t>
      </w:r>
    </w:p>
    <w:p w:rsidR="00562B09" w:rsidRPr="003C1941" w:rsidRDefault="00562B09" w:rsidP="00562B09">
      <w:pPr>
        <w:numPr>
          <w:ilvl w:val="0"/>
          <w:numId w:val="11"/>
        </w:numPr>
        <w:ind w:left="426" w:hanging="426"/>
        <w:jc w:val="both"/>
      </w:pPr>
      <w:r w:rsidRPr="003C1941">
        <w:t>Zamawiający zamawia a Wykonawca przyjmuje do realizacji sprzedaż i dostawę przedmiotu umowy do</w:t>
      </w:r>
      <w:r>
        <w:t xml:space="preserve"> </w:t>
      </w:r>
      <w:r w:rsidRPr="003C1941">
        <w:t>siedziby Zamawiającego.</w:t>
      </w:r>
    </w:p>
    <w:p w:rsidR="00562B09" w:rsidRPr="003C1941" w:rsidRDefault="00562B09" w:rsidP="00562B09">
      <w:pPr>
        <w:numPr>
          <w:ilvl w:val="0"/>
          <w:numId w:val="11"/>
        </w:numPr>
        <w:ind w:left="426" w:hanging="426"/>
        <w:jc w:val="both"/>
      </w:pPr>
      <w:r w:rsidRPr="003C1941">
        <w:t>Ryzyko przypadkowej utraty lub uszkodzenia towaru przechodzi na Zamawiającego z chwilą dostarczenia go do siedziby Zamawiającego i przejęcia go przez Zamawiającego.</w:t>
      </w:r>
    </w:p>
    <w:p w:rsidR="0073682A" w:rsidRPr="003C1941" w:rsidRDefault="0073682A" w:rsidP="0073682A">
      <w:pPr>
        <w:numPr>
          <w:ilvl w:val="0"/>
          <w:numId w:val="11"/>
        </w:numPr>
        <w:ind w:left="426" w:hanging="426"/>
        <w:jc w:val="both"/>
      </w:pPr>
      <w:r w:rsidRPr="003C1941">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F773FE" w:rsidRPr="00D52060" w:rsidRDefault="00F773FE" w:rsidP="00F773FE">
      <w:pPr>
        <w:spacing w:line="276" w:lineRule="auto"/>
        <w:rPr>
          <w:b/>
        </w:rPr>
      </w:pPr>
    </w:p>
    <w:p w:rsidR="00F773FE" w:rsidRPr="00D52060" w:rsidRDefault="00F773FE" w:rsidP="00F773FE">
      <w:pPr>
        <w:spacing w:line="276" w:lineRule="auto"/>
        <w:jc w:val="center"/>
        <w:rPr>
          <w:b/>
        </w:rPr>
      </w:pPr>
      <w:r w:rsidRPr="00D52060">
        <w:rPr>
          <w:b/>
        </w:rPr>
        <w:lastRenderedPageBreak/>
        <w:t>§ 2</w:t>
      </w:r>
    </w:p>
    <w:p w:rsidR="00F773FE" w:rsidRPr="00D52060" w:rsidRDefault="00F773FE" w:rsidP="00F773FE">
      <w:pPr>
        <w:spacing w:line="276" w:lineRule="auto"/>
        <w:jc w:val="center"/>
        <w:rPr>
          <w:b/>
          <w:u w:val="single"/>
        </w:rPr>
      </w:pPr>
      <w:r w:rsidRPr="00D52060">
        <w:rPr>
          <w:b/>
          <w:u w:val="single"/>
        </w:rPr>
        <w:t>Wartość dostawy</w:t>
      </w:r>
    </w:p>
    <w:p w:rsidR="00F773FE" w:rsidRPr="0058292A" w:rsidRDefault="00F773FE" w:rsidP="00F773FE">
      <w:pPr>
        <w:numPr>
          <w:ilvl w:val="0"/>
          <w:numId w:val="10"/>
        </w:numPr>
        <w:spacing w:after="200" w:line="276" w:lineRule="auto"/>
        <w:ind w:left="426"/>
        <w:contextualSpacing/>
        <w:jc w:val="both"/>
        <w:rPr>
          <w:rFonts w:eastAsia="Calibri"/>
        </w:rPr>
      </w:pPr>
      <w:r w:rsidRPr="0058292A">
        <w:t xml:space="preserve">Zapłata za dostarczony przedmiot umowy nastąpi na podstawie wystawionej przez Wykonawcę faktury po zakończeniu dostaw, wdrożeń i usług związanych z zamówieniem wg § 3 w terminie </w:t>
      </w:r>
      <w:r w:rsidRPr="0058292A">
        <w:rPr>
          <w:b/>
        </w:rPr>
        <w:t>60 dni</w:t>
      </w:r>
      <w:r w:rsidRPr="0058292A">
        <w:t xml:space="preserve"> od daty przyjęcia faktury przez Zamawiającego, przelewem na konto wskazane na fakturze. </w:t>
      </w:r>
    </w:p>
    <w:p w:rsidR="0058292A" w:rsidRPr="0058292A" w:rsidRDefault="00F773FE" w:rsidP="00F773FE">
      <w:pPr>
        <w:numPr>
          <w:ilvl w:val="0"/>
          <w:numId w:val="10"/>
        </w:numPr>
        <w:spacing w:after="200" w:line="276" w:lineRule="auto"/>
        <w:ind w:left="426"/>
        <w:contextualSpacing/>
        <w:jc w:val="both"/>
        <w:rPr>
          <w:rFonts w:eastAsia="Calibri"/>
        </w:rPr>
      </w:pPr>
      <w:r w:rsidRPr="0058292A">
        <w:rPr>
          <w:rFonts w:eastAsia="Calibri"/>
        </w:rPr>
        <w:t>Wartość umowy netto</w:t>
      </w:r>
    </w:p>
    <w:p w:rsidR="00F773FE" w:rsidRPr="0058292A" w:rsidRDefault="0058292A" w:rsidP="0058292A">
      <w:pPr>
        <w:pStyle w:val="Akapitzlist"/>
        <w:numPr>
          <w:ilvl w:val="0"/>
          <w:numId w:val="12"/>
        </w:numPr>
        <w:jc w:val="both"/>
        <w:rPr>
          <w:rFonts w:ascii="Times New Roman" w:hAnsi="Times New Roman"/>
          <w:sz w:val="24"/>
          <w:szCs w:val="24"/>
        </w:rPr>
      </w:pPr>
      <w:r w:rsidRPr="0058292A">
        <w:rPr>
          <w:rFonts w:ascii="Times New Roman" w:hAnsi="Times New Roman"/>
          <w:sz w:val="24"/>
          <w:szCs w:val="24"/>
        </w:rPr>
        <w:t xml:space="preserve">dla Pakietu 1 </w:t>
      </w:r>
      <w:r w:rsidR="00F773FE" w:rsidRPr="0058292A">
        <w:rPr>
          <w:rFonts w:ascii="Times New Roman" w:hAnsi="Times New Roman"/>
          <w:sz w:val="24"/>
          <w:szCs w:val="24"/>
        </w:rPr>
        <w:t xml:space="preserve">: </w:t>
      </w:r>
      <w:r w:rsidR="00F773FE" w:rsidRPr="0058292A">
        <w:rPr>
          <w:rFonts w:ascii="Times New Roman" w:hAnsi="Times New Roman"/>
          <w:b/>
          <w:sz w:val="24"/>
          <w:szCs w:val="24"/>
        </w:rPr>
        <w:t>…………………… zł</w:t>
      </w:r>
      <w:r w:rsidRPr="0058292A">
        <w:rPr>
          <w:rFonts w:ascii="Times New Roman" w:hAnsi="Times New Roman"/>
          <w:sz w:val="24"/>
          <w:szCs w:val="24"/>
        </w:rPr>
        <w:t xml:space="preserve"> (słownie złotych: ………………/100).</w:t>
      </w:r>
    </w:p>
    <w:p w:rsidR="0058292A" w:rsidRPr="0058292A" w:rsidRDefault="0058292A" w:rsidP="0058292A">
      <w:pPr>
        <w:pStyle w:val="Akapitzlist"/>
        <w:numPr>
          <w:ilvl w:val="0"/>
          <w:numId w:val="12"/>
        </w:numPr>
        <w:jc w:val="both"/>
        <w:rPr>
          <w:rFonts w:ascii="Times New Roman" w:hAnsi="Times New Roman"/>
          <w:sz w:val="24"/>
          <w:szCs w:val="24"/>
        </w:rPr>
      </w:pPr>
      <w:r w:rsidRPr="0058292A">
        <w:rPr>
          <w:rFonts w:ascii="Times New Roman" w:hAnsi="Times New Roman"/>
          <w:sz w:val="24"/>
          <w:szCs w:val="24"/>
        </w:rPr>
        <w:t xml:space="preserve">dla Pakietu 2 : </w:t>
      </w:r>
      <w:r w:rsidRPr="0058292A">
        <w:rPr>
          <w:rFonts w:ascii="Times New Roman" w:hAnsi="Times New Roman"/>
          <w:b/>
          <w:sz w:val="24"/>
          <w:szCs w:val="24"/>
        </w:rPr>
        <w:t>…………………… zł</w:t>
      </w:r>
      <w:r w:rsidRPr="0058292A">
        <w:rPr>
          <w:rFonts w:ascii="Times New Roman" w:hAnsi="Times New Roman"/>
          <w:sz w:val="24"/>
          <w:szCs w:val="24"/>
        </w:rPr>
        <w:t xml:space="preserve"> (słownie złotych: ………………/100).</w:t>
      </w:r>
    </w:p>
    <w:p w:rsidR="0058292A" w:rsidRPr="0058292A" w:rsidRDefault="00F773FE" w:rsidP="00F773FE">
      <w:pPr>
        <w:numPr>
          <w:ilvl w:val="0"/>
          <w:numId w:val="10"/>
        </w:numPr>
        <w:spacing w:after="200" w:line="276" w:lineRule="auto"/>
        <w:ind w:left="426"/>
        <w:contextualSpacing/>
        <w:jc w:val="both"/>
        <w:rPr>
          <w:rFonts w:eastAsia="Calibri"/>
        </w:rPr>
      </w:pPr>
      <w:r w:rsidRPr="0058292A">
        <w:rPr>
          <w:rFonts w:eastAsia="Calibri"/>
        </w:rPr>
        <w:t>Cena brutto (wartość netto powiększona o podatek VAT naliczony zgodnie z  obowiązującymi przepisami)</w:t>
      </w:r>
    </w:p>
    <w:p w:rsidR="0058292A" w:rsidRPr="0058292A" w:rsidRDefault="0058292A" w:rsidP="0058292A">
      <w:pPr>
        <w:pStyle w:val="Akapitzlist"/>
        <w:numPr>
          <w:ilvl w:val="0"/>
          <w:numId w:val="13"/>
        </w:numPr>
        <w:jc w:val="both"/>
        <w:rPr>
          <w:rFonts w:ascii="Times New Roman" w:hAnsi="Times New Roman"/>
          <w:sz w:val="24"/>
          <w:szCs w:val="24"/>
        </w:rPr>
      </w:pPr>
      <w:r w:rsidRPr="0058292A">
        <w:rPr>
          <w:rFonts w:ascii="Times New Roman" w:hAnsi="Times New Roman"/>
          <w:sz w:val="24"/>
          <w:szCs w:val="24"/>
        </w:rPr>
        <w:t xml:space="preserve">dla Pakietu 1 : </w:t>
      </w:r>
      <w:r w:rsidRPr="0058292A">
        <w:rPr>
          <w:rFonts w:ascii="Times New Roman" w:hAnsi="Times New Roman"/>
          <w:b/>
          <w:sz w:val="24"/>
          <w:szCs w:val="24"/>
        </w:rPr>
        <w:t>…………………… zł</w:t>
      </w:r>
      <w:r w:rsidRPr="0058292A">
        <w:rPr>
          <w:rFonts w:ascii="Times New Roman" w:hAnsi="Times New Roman"/>
          <w:sz w:val="24"/>
          <w:szCs w:val="24"/>
        </w:rPr>
        <w:t xml:space="preserve"> (słownie złotych: ………………/100).</w:t>
      </w:r>
    </w:p>
    <w:p w:rsidR="0058292A" w:rsidRPr="0058292A" w:rsidRDefault="0058292A" w:rsidP="0058292A">
      <w:pPr>
        <w:pStyle w:val="Akapitzlist"/>
        <w:numPr>
          <w:ilvl w:val="0"/>
          <w:numId w:val="13"/>
        </w:numPr>
        <w:jc w:val="both"/>
        <w:rPr>
          <w:rFonts w:ascii="Times New Roman" w:hAnsi="Times New Roman"/>
          <w:sz w:val="24"/>
          <w:szCs w:val="24"/>
        </w:rPr>
      </w:pPr>
      <w:r w:rsidRPr="0058292A">
        <w:rPr>
          <w:rFonts w:ascii="Times New Roman" w:hAnsi="Times New Roman"/>
          <w:sz w:val="24"/>
          <w:szCs w:val="24"/>
        </w:rPr>
        <w:t xml:space="preserve">dla Pakietu 2 : </w:t>
      </w:r>
      <w:r w:rsidRPr="0058292A">
        <w:rPr>
          <w:rFonts w:ascii="Times New Roman" w:hAnsi="Times New Roman"/>
          <w:b/>
          <w:sz w:val="24"/>
          <w:szCs w:val="24"/>
        </w:rPr>
        <w:t>…………………… zł</w:t>
      </w:r>
      <w:r w:rsidRPr="0058292A">
        <w:rPr>
          <w:rFonts w:ascii="Times New Roman" w:hAnsi="Times New Roman"/>
          <w:sz w:val="24"/>
          <w:szCs w:val="24"/>
        </w:rPr>
        <w:t xml:space="preserve"> (słownie złotych: ………………/100).</w:t>
      </w:r>
    </w:p>
    <w:p w:rsidR="00F773FE" w:rsidRPr="0058292A" w:rsidRDefault="00F773FE" w:rsidP="00F773FE">
      <w:pPr>
        <w:numPr>
          <w:ilvl w:val="0"/>
          <w:numId w:val="10"/>
        </w:numPr>
        <w:spacing w:after="200" w:line="276" w:lineRule="auto"/>
        <w:ind w:left="426"/>
        <w:contextualSpacing/>
        <w:jc w:val="both"/>
        <w:rPr>
          <w:rFonts w:eastAsia="Calibri"/>
        </w:rPr>
      </w:pPr>
      <w:r w:rsidRPr="0058292A">
        <w:rPr>
          <w:rFonts w:eastAsia="Calibri"/>
        </w:rPr>
        <w:t>Cena, o której mowa w ust. 3, obejmuje koszt przedmiotu umowy oraz wszelkie koszty związane z wykonaniem zamówienia w tym w szczególności koszty przewozu, wdrożenia, szkolenia, serwisu oraz</w:t>
      </w:r>
      <w:r w:rsidRPr="0058292A">
        <w:rPr>
          <w:rFonts w:eastAsia="Calibri"/>
          <w:b/>
        </w:rPr>
        <w:t xml:space="preserve"> </w:t>
      </w:r>
      <w:r w:rsidRPr="0058292A">
        <w:rPr>
          <w:rFonts w:eastAsia="Calibri"/>
        </w:rPr>
        <w:t>koszt gwarancji.</w:t>
      </w:r>
    </w:p>
    <w:p w:rsidR="00F773FE" w:rsidRPr="0058292A" w:rsidRDefault="00F773FE" w:rsidP="00F773FE">
      <w:pPr>
        <w:numPr>
          <w:ilvl w:val="0"/>
          <w:numId w:val="10"/>
        </w:numPr>
        <w:spacing w:after="200" w:line="276" w:lineRule="auto"/>
        <w:ind w:left="426"/>
        <w:contextualSpacing/>
        <w:jc w:val="both"/>
        <w:rPr>
          <w:rFonts w:eastAsia="Calibri"/>
        </w:rPr>
      </w:pPr>
      <w:r w:rsidRPr="0058292A">
        <w:rPr>
          <w:rFonts w:eastAsia="Calibri"/>
        </w:rPr>
        <w:t>Urzędowa zmiana stawek podatku VAT obowiązuje z mocy prawa.</w:t>
      </w:r>
    </w:p>
    <w:p w:rsidR="00F773FE" w:rsidRPr="0058292A" w:rsidRDefault="00F773FE" w:rsidP="00F773FE">
      <w:pPr>
        <w:numPr>
          <w:ilvl w:val="0"/>
          <w:numId w:val="10"/>
        </w:numPr>
        <w:spacing w:after="200" w:line="276" w:lineRule="auto"/>
        <w:ind w:left="426"/>
        <w:contextualSpacing/>
        <w:jc w:val="both"/>
        <w:rPr>
          <w:rFonts w:eastAsia="Calibri"/>
        </w:rPr>
      </w:pPr>
      <w:r w:rsidRPr="0058292A">
        <w:rPr>
          <w:rFonts w:eastAsia="Calibri"/>
        </w:rPr>
        <w:t>Wykonawca gwarantuje, że wartości netto nie wzrosną przez okres trwania umowy.</w:t>
      </w:r>
    </w:p>
    <w:p w:rsidR="00F773FE" w:rsidRPr="00D52060" w:rsidRDefault="00F773FE" w:rsidP="00F773FE">
      <w:pPr>
        <w:numPr>
          <w:ilvl w:val="0"/>
          <w:numId w:val="10"/>
        </w:numPr>
        <w:spacing w:after="200" w:line="276" w:lineRule="auto"/>
        <w:ind w:left="426"/>
        <w:contextualSpacing/>
        <w:jc w:val="both"/>
        <w:rPr>
          <w:rFonts w:eastAsia="Calibri"/>
        </w:rPr>
      </w:pPr>
      <w:r w:rsidRPr="00D52060">
        <w:t xml:space="preserve">Od należności </w:t>
      </w:r>
      <w:r w:rsidRPr="00D52060">
        <w:rPr>
          <w:rFonts w:eastAsia="Calibri"/>
        </w:rPr>
        <w:t xml:space="preserve">nieuiszczonych w terminie ustalonym przez strony, Wykonawca może na podstawie art. 8 ustawy z dnia </w:t>
      </w:r>
      <w:r w:rsidRPr="00D52060">
        <w:t xml:space="preserve">8 marca 2013r. o terminach zapłaty w transakcjach handlowych </w:t>
      </w:r>
      <w:r w:rsidRPr="002477C0">
        <w:rPr>
          <w:color w:val="000000"/>
        </w:rPr>
        <w:t xml:space="preserve">( </w:t>
      </w:r>
      <w:proofErr w:type="spellStart"/>
      <w:r w:rsidRPr="002477C0">
        <w:rPr>
          <w:color w:val="000000"/>
        </w:rPr>
        <w:t>t.j</w:t>
      </w:r>
      <w:proofErr w:type="spellEnd"/>
      <w:r w:rsidRPr="002477C0">
        <w:rPr>
          <w:color w:val="000000"/>
        </w:rPr>
        <w:t>. Dz. U. z 2019r., poz. 118)</w:t>
      </w:r>
      <w:r w:rsidRPr="002477C0">
        <w:rPr>
          <w:rFonts w:eastAsia="Calibri"/>
          <w:color w:val="000000"/>
        </w:rPr>
        <w:t>,</w:t>
      </w:r>
      <w:r w:rsidRPr="00D52060">
        <w:rPr>
          <w:rFonts w:eastAsia="Calibri"/>
        </w:rPr>
        <w:t xml:space="preserve"> naliczać odsetki ustawowe za opóźnienie w transakcjach handlowych – odsetki w wysokości równej sumie stopy referencyjnej Narodowego Banku Polskiego i ośmiu punktów procentowych.</w:t>
      </w:r>
    </w:p>
    <w:p w:rsidR="00F773FE" w:rsidRPr="00D52060" w:rsidRDefault="00F773FE" w:rsidP="00F773FE">
      <w:pPr>
        <w:numPr>
          <w:ilvl w:val="0"/>
          <w:numId w:val="10"/>
        </w:numPr>
        <w:spacing w:after="200" w:line="276" w:lineRule="auto"/>
        <w:ind w:left="426"/>
        <w:contextualSpacing/>
        <w:jc w:val="both"/>
        <w:rPr>
          <w:rFonts w:eastAsia="Calibri"/>
        </w:rPr>
      </w:pPr>
      <w:r w:rsidRPr="00D52060">
        <w:t xml:space="preserve">Za datę zapłaty strony uznają dzień obciążenia rachunku bankowego Zamawiającego. </w:t>
      </w:r>
    </w:p>
    <w:p w:rsidR="00F773FE" w:rsidRPr="00D52060" w:rsidRDefault="00F773FE" w:rsidP="00F773FE">
      <w:pPr>
        <w:spacing w:line="276" w:lineRule="auto"/>
        <w:rPr>
          <w:b/>
        </w:rPr>
      </w:pPr>
    </w:p>
    <w:p w:rsidR="00F773FE" w:rsidRPr="00D52060" w:rsidRDefault="00F773FE" w:rsidP="00F773FE">
      <w:pPr>
        <w:spacing w:line="276" w:lineRule="auto"/>
        <w:jc w:val="center"/>
        <w:rPr>
          <w:b/>
        </w:rPr>
      </w:pPr>
      <w:r w:rsidRPr="00D52060">
        <w:rPr>
          <w:b/>
        </w:rPr>
        <w:t>§ 3</w:t>
      </w:r>
    </w:p>
    <w:p w:rsidR="00F773FE" w:rsidRPr="00D52060" w:rsidRDefault="00F773FE" w:rsidP="00F773FE">
      <w:pPr>
        <w:spacing w:line="276" w:lineRule="auto"/>
        <w:jc w:val="center"/>
        <w:rPr>
          <w:b/>
          <w:u w:val="single"/>
        </w:rPr>
      </w:pPr>
      <w:r w:rsidRPr="00D52060">
        <w:rPr>
          <w:b/>
          <w:u w:val="single"/>
        </w:rPr>
        <w:t>Termin i warunki dostarczenia przedmiotu umowy</w:t>
      </w:r>
    </w:p>
    <w:p w:rsidR="00F773FE" w:rsidRPr="00D52060" w:rsidRDefault="00F773FE" w:rsidP="00F773FE">
      <w:pPr>
        <w:numPr>
          <w:ilvl w:val="0"/>
          <w:numId w:val="2"/>
        </w:numPr>
        <w:autoSpaceDE w:val="0"/>
        <w:autoSpaceDN w:val="0"/>
        <w:adjustRightInd w:val="0"/>
        <w:spacing w:line="276" w:lineRule="auto"/>
        <w:jc w:val="both"/>
      </w:pPr>
      <w:r w:rsidRPr="00D52060">
        <w:t>Wykona</w:t>
      </w:r>
      <w:r w:rsidR="00D20E5D">
        <w:t>wca zobowiązuje się dostarczyć,</w:t>
      </w:r>
      <w:r w:rsidRPr="00D52060">
        <w:t xml:space="preserve"> wdrożyć przedmiot umowy</w:t>
      </w:r>
      <w:r w:rsidR="00D20E5D">
        <w:t xml:space="preserve"> i przeprowadzić szkolenie</w:t>
      </w:r>
      <w:r w:rsidRPr="00D52060">
        <w:t xml:space="preserve"> w terminie </w:t>
      </w:r>
      <w:r w:rsidR="00F152C9">
        <w:rPr>
          <w:b/>
        </w:rPr>
        <w:t>14 tygodni</w:t>
      </w:r>
      <w:bookmarkStart w:id="0" w:name="_GoBack"/>
      <w:bookmarkEnd w:id="0"/>
      <w:r w:rsidR="00562B09">
        <w:rPr>
          <w:b/>
        </w:rPr>
        <w:t xml:space="preserve"> </w:t>
      </w:r>
      <w:r w:rsidRPr="00D52060">
        <w:t xml:space="preserve">od daty zawarcia umowy. Osobami upoważnionymi do protokolarnego odbioru przedmiotu umowy w imieniu Zamawiającego są: Jarosław Wojtaś, Krzysztof Bielecki, Mirosław Sęk, Stelmaszczyk Janusz, Wawrzyniak Mariusz. Podpisany przez strony do protokół odbioru przedmiotu umowy stanowić będzie podstawę do wystawienia faktury. </w:t>
      </w:r>
    </w:p>
    <w:p w:rsidR="00F773FE" w:rsidRPr="00D52060" w:rsidRDefault="00F773FE" w:rsidP="00F773FE">
      <w:pPr>
        <w:numPr>
          <w:ilvl w:val="0"/>
          <w:numId w:val="2"/>
        </w:numPr>
        <w:autoSpaceDE w:val="0"/>
        <w:autoSpaceDN w:val="0"/>
        <w:adjustRightInd w:val="0"/>
        <w:spacing w:line="276" w:lineRule="auto"/>
        <w:jc w:val="both"/>
      </w:pPr>
      <w:r w:rsidRPr="00D52060">
        <w:t xml:space="preserve">Zamawiający zastrzega sobie możliwość odstąpienia od podpisania protokołu jeżeli dostarczony </w:t>
      </w:r>
      <w:r w:rsidR="0058292A">
        <w:t>przedmiot umowy</w:t>
      </w:r>
      <w:r w:rsidRPr="00D52060">
        <w:t xml:space="preserve"> nie będzie nowy lub nie będzie pochodził z legalnego źródła, zakupion</w:t>
      </w:r>
      <w:r w:rsidR="0058292A">
        <w:t>y</w:t>
      </w:r>
      <w:r w:rsidRPr="00D52060">
        <w:t xml:space="preserve"> w autoryzowanym kanale sprzedaży producenta w Polsce i nie będzie objęty standardowym pakietem usług gwarancyjnych zawartych w cenie i świadczonych przez sieć serwisowa producenta na terenie Polski.</w:t>
      </w:r>
    </w:p>
    <w:p w:rsidR="00F773FE" w:rsidRPr="00562B09" w:rsidRDefault="00F773FE" w:rsidP="00562B09">
      <w:pPr>
        <w:numPr>
          <w:ilvl w:val="0"/>
          <w:numId w:val="2"/>
        </w:numPr>
        <w:spacing w:after="200" w:line="276" w:lineRule="auto"/>
        <w:ind w:left="426"/>
        <w:contextualSpacing/>
        <w:jc w:val="both"/>
        <w:rPr>
          <w:rFonts w:eastAsia="Calibri"/>
        </w:rPr>
      </w:pPr>
      <w:r w:rsidRPr="00D52060">
        <w:rPr>
          <w:rFonts w:eastAsia="Calibri"/>
        </w:rPr>
        <w:t>Zamawiający zastrzega sobie prawo odstąpienia od umowy w terminie 7 dni</w:t>
      </w:r>
      <w:r w:rsidRPr="00D52060">
        <w:t xml:space="preserve"> od wystąpienia okoliczności będących podstawą do odstąpienia, w szczególności</w:t>
      </w:r>
      <w:r w:rsidR="00562B09">
        <w:rPr>
          <w:rFonts w:eastAsia="Calibri"/>
        </w:rPr>
        <w:t xml:space="preserve"> </w:t>
      </w:r>
      <w:r w:rsidRPr="00562B09">
        <w:rPr>
          <w:rFonts w:eastAsia="Calibri"/>
        </w:rPr>
        <w:t xml:space="preserve">jeżeli </w:t>
      </w:r>
      <w:r w:rsidRPr="00562B09">
        <w:rPr>
          <w:rFonts w:eastAsia="Calibri"/>
        </w:rPr>
        <w:lastRenderedPageBreak/>
        <w:t xml:space="preserve">opóźnienie w dostawie </w:t>
      </w:r>
      <w:r w:rsidR="009073ED">
        <w:rPr>
          <w:rFonts w:eastAsia="Calibri"/>
        </w:rPr>
        <w:t>przedmiotu umowy</w:t>
      </w:r>
      <w:r w:rsidRPr="00562B09">
        <w:rPr>
          <w:rFonts w:eastAsia="Calibri"/>
        </w:rPr>
        <w:t xml:space="preserve"> przekroczy </w:t>
      </w:r>
      <w:r w:rsidR="00562B09" w:rsidRPr="00562B09">
        <w:rPr>
          <w:rFonts w:eastAsia="Calibri"/>
        </w:rPr>
        <w:t>14</w:t>
      </w:r>
      <w:r w:rsidRPr="00562B09">
        <w:rPr>
          <w:rFonts w:eastAsia="Calibri"/>
        </w:rPr>
        <w:t xml:space="preserve"> dni licząc od terminu zakreślonego w ust. 1;</w:t>
      </w:r>
    </w:p>
    <w:p w:rsidR="00F773FE" w:rsidRPr="00D52060" w:rsidRDefault="00F773FE" w:rsidP="00F773FE">
      <w:pPr>
        <w:numPr>
          <w:ilvl w:val="0"/>
          <w:numId w:val="2"/>
        </w:numPr>
        <w:spacing w:after="200" w:line="276" w:lineRule="auto"/>
        <w:contextualSpacing/>
        <w:jc w:val="both"/>
        <w:rPr>
          <w:rFonts w:eastAsia="Calibri"/>
        </w:rPr>
      </w:pPr>
      <w:r w:rsidRPr="00D52060">
        <w:rPr>
          <w:rFonts w:eastAsia="Calibri"/>
        </w:rPr>
        <w:t xml:space="preserve">Wraz z przekazaniem </w:t>
      </w:r>
      <w:r w:rsidR="00562B09">
        <w:rPr>
          <w:rFonts w:eastAsia="Calibri"/>
        </w:rPr>
        <w:t>przedmiotu umowy</w:t>
      </w:r>
      <w:r w:rsidRPr="00D52060">
        <w:rPr>
          <w:rFonts w:eastAsia="Calibri"/>
        </w:rPr>
        <w:t xml:space="preserve"> Wykonawca zobowiązany jest przekazać Zamawiającemu wszystkie dokumenty, w tym m. in. karty gwarancyjne, licencje, certyfikaty, oświadczenia producenta, że </w:t>
      </w:r>
      <w:r w:rsidR="0058292A">
        <w:rPr>
          <w:rFonts w:eastAsia="Calibri"/>
        </w:rPr>
        <w:t>przedmiot umowy</w:t>
      </w:r>
      <w:r w:rsidRPr="00D52060">
        <w:rPr>
          <w:rFonts w:eastAsia="Calibri"/>
        </w:rPr>
        <w:t xml:space="preserve"> jest objęty gwarancją.</w:t>
      </w:r>
      <w:r w:rsidRPr="00D52060">
        <w:t xml:space="preserve"> </w:t>
      </w:r>
    </w:p>
    <w:p w:rsidR="00F773FE" w:rsidRPr="00D52060" w:rsidRDefault="00F773FE" w:rsidP="00F773FE">
      <w:pPr>
        <w:numPr>
          <w:ilvl w:val="0"/>
          <w:numId w:val="2"/>
        </w:numPr>
        <w:spacing w:after="200" w:line="276" w:lineRule="auto"/>
        <w:ind w:left="426"/>
        <w:contextualSpacing/>
        <w:jc w:val="both"/>
        <w:rPr>
          <w:rFonts w:eastAsia="Calibri"/>
          <w:b/>
        </w:rPr>
      </w:pPr>
      <w:r w:rsidRPr="00D52060">
        <w:rPr>
          <w:rFonts w:eastAsia="Calibri"/>
        </w:rPr>
        <w:t xml:space="preserve">Ryzyko przypadkowej utraty lub uszkodzenia </w:t>
      </w:r>
      <w:r w:rsidR="00170B7E">
        <w:rPr>
          <w:rFonts w:eastAsia="Calibri"/>
        </w:rPr>
        <w:t>przedmiotu umowy</w:t>
      </w:r>
      <w:r w:rsidRPr="00D52060">
        <w:rPr>
          <w:rFonts w:eastAsia="Calibri"/>
        </w:rPr>
        <w:t xml:space="preserve"> przechodzi na Zamawiającego z chwilą dostarczenia i p</w:t>
      </w:r>
      <w:r w:rsidR="00170B7E">
        <w:rPr>
          <w:rFonts w:eastAsia="Calibri"/>
        </w:rPr>
        <w:t>rzyjęcia go przez Zamawiającego</w:t>
      </w:r>
      <w:r w:rsidRPr="00D52060">
        <w:rPr>
          <w:rFonts w:eastAsia="Calibri"/>
        </w:rPr>
        <w:t>.</w:t>
      </w:r>
    </w:p>
    <w:p w:rsidR="00F773FE" w:rsidRPr="00D52060" w:rsidRDefault="00F773FE" w:rsidP="00F773FE">
      <w:pPr>
        <w:numPr>
          <w:ilvl w:val="0"/>
          <w:numId w:val="2"/>
        </w:numPr>
        <w:spacing w:after="200" w:line="276" w:lineRule="auto"/>
        <w:ind w:left="426"/>
        <w:contextualSpacing/>
        <w:jc w:val="both"/>
        <w:rPr>
          <w:rFonts w:eastAsia="Calibri"/>
          <w:b/>
        </w:rPr>
      </w:pPr>
      <w:r w:rsidRPr="00D52060">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F773FE" w:rsidRPr="00D52060" w:rsidRDefault="00F773FE" w:rsidP="00F773FE">
      <w:pPr>
        <w:spacing w:after="200" w:line="276" w:lineRule="auto"/>
        <w:ind w:left="720"/>
        <w:contextualSpacing/>
        <w:jc w:val="center"/>
        <w:rPr>
          <w:rFonts w:eastAsia="Calibri"/>
          <w:b/>
        </w:rPr>
      </w:pPr>
    </w:p>
    <w:p w:rsidR="00F773FE" w:rsidRPr="00D52060" w:rsidRDefault="00F773FE" w:rsidP="00F773FE">
      <w:pPr>
        <w:spacing w:after="200" w:line="276" w:lineRule="auto"/>
        <w:ind w:left="720"/>
        <w:contextualSpacing/>
        <w:jc w:val="center"/>
        <w:rPr>
          <w:rFonts w:eastAsia="Calibri"/>
          <w:b/>
        </w:rPr>
      </w:pPr>
      <w:r w:rsidRPr="00D52060">
        <w:rPr>
          <w:rFonts w:eastAsia="Calibri"/>
          <w:b/>
        </w:rPr>
        <w:t>§ 4</w:t>
      </w:r>
    </w:p>
    <w:p w:rsidR="00F773FE" w:rsidRPr="00D52060" w:rsidRDefault="00F773FE" w:rsidP="00F773FE">
      <w:pPr>
        <w:spacing w:after="200" w:line="276" w:lineRule="auto"/>
        <w:ind w:left="720"/>
        <w:contextualSpacing/>
        <w:jc w:val="center"/>
        <w:rPr>
          <w:rFonts w:eastAsia="Calibri"/>
          <w:b/>
          <w:u w:val="single"/>
        </w:rPr>
      </w:pPr>
      <w:r w:rsidRPr="00D52060">
        <w:rPr>
          <w:rFonts w:eastAsia="Calibri"/>
          <w:b/>
          <w:u w:val="single"/>
        </w:rPr>
        <w:t>Odpowiedzialność za wady przedmiotu umowy</w:t>
      </w:r>
    </w:p>
    <w:p w:rsidR="00F773FE" w:rsidRPr="00D52060" w:rsidRDefault="00F773FE" w:rsidP="00F773FE">
      <w:pPr>
        <w:numPr>
          <w:ilvl w:val="0"/>
          <w:numId w:val="3"/>
        </w:numPr>
        <w:spacing w:line="276" w:lineRule="auto"/>
        <w:ind w:left="284" w:hanging="357"/>
        <w:contextualSpacing/>
        <w:jc w:val="both"/>
        <w:rPr>
          <w:rFonts w:eastAsia="Calibri"/>
        </w:rPr>
      </w:pPr>
      <w:r w:rsidRPr="00D52060">
        <w:rPr>
          <w:rFonts w:eastAsia="Calibri"/>
        </w:rPr>
        <w:t xml:space="preserve">Wykonawca udziela Zamawiającemu gwarancji jakości i trwałości </w:t>
      </w:r>
      <w:r w:rsidR="00170B7E">
        <w:rPr>
          <w:rFonts w:eastAsia="Calibri"/>
        </w:rPr>
        <w:t>przedmiotu umowy</w:t>
      </w:r>
      <w:r w:rsidRPr="00D52060">
        <w:rPr>
          <w:rFonts w:eastAsia="Calibri"/>
        </w:rPr>
        <w:t xml:space="preserve"> i zapewnia, że </w:t>
      </w:r>
      <w:r w:rsidR="00170B7E">
        <w:rPr>
          <w:rFonts w:eastAsia="Calibri"/>
        </w:rPr>
        <w:t>przedmiot umowy</w:t>
      </w:r>
      <w:r w:rsidRPr="00D52060">
        <w:rPr>
          <w:rFonts w:eastAsia="Calibri"/>
        </w:rPr>
        <w:t xml:space="preserve"> będzie woln</w:t>
      </w:r>
      <w:r w:rsidR="00170B7E">
        <w:rPr>
          <w:rFonts w:eastAsia="Calibri"/>
        </w:rPr>
        <w:t>y</w:t>
      </w:r>
      <w:r w:rsidRPr="00D52060">
        <w:rPr>
          <w:rFonts w:eastAsia="Calibri"/>
        </w:rPr>
        <w:t xml:space="preserve"> od wad, spełniać będzie wszelkie wymagania określone przez Zamawiającego, przez właściwe przepisy i instytucje oraz będzie najwyższej jakości. </w:t>
      </w:r>
    </w:p>
    <w:p w:rsidR="00F773FE" w:rsidRDefault="00F773FE" w:rsidP="00F773FE">
      <w:pPr>
        <w:numPr>
          <w:ilvl w:val="0"/>
          <w:numId w:val="3"/>
        </w:numPr>
        <w:spacing w:line="276" w:lineRule="auto"/>
        <w:ind w:left="284" w:hanging="357"/>
        <w:contextualSpacing/>
        <w:jc w:val="both"/>
        <w:rPr>
          <w:rFonts w:eastAsia="Calibri"/>
        </w:rPr>
      </w:pPr>
      <w:r w:rsidRPr="00D52060">
        <w:rPr>
          <w:rFonts w:eastAsia="Calibri"/>
        </w:rPr>
        <w:t>Wykonawca udziela gwarancji (zgodnie ze specyfikacją i ofertą)</w:t>
      </w:r>
      <w:r w:rsidRPr="00D52060">
        <w:t xml:space="preserve"> </w:t>
      </w:r>
      <w:r w:rsidRPr="00D52060">
        <w:rPr>
          <w:rFonts w:eastAsia="Calibri"/>
        </w:rPr>
        <w:t>prawidłowego działania, liczony od daty podpisania protokołu odbioru sporządzonego po wdrożeniu (jeżeli jest konieczne) i przekazaniu do użytkowania.</w:t>
      </w:r>
    </w:p>
    <w:p w:rsidR="00F773FE" w:rsidRPr="00E40EF1" w:rsidRDefault="00F773FE" w:rsidP="00F773FE">
      <w:pPr>
        <w:numPr>
          <w:ilvl w:val="0"/>
          <w:numId w:val="3"/>
        </w:numPr>
        <w:spacing w:line="276" w:lineRule="auto"/>
        <w:contextualSpacing/>
        <w:jc w:val="both"/>
        <w:rPr>
          <w:rFonts w:eastAsia="Calibri"/>
        </w:rPr>
      </w:pPr>
      <w:r w:rsidRPr="00E40EF1">
        <w:rPr>
          <w:rFonts w:eastAsia="Calibri"/>
        </w:rPr>
        <w:t xml:space="preserve">Jeżeli w przypadku ujawnienia się wady w okresie gwarancji Wykonawca dostarczy Zamawiającemu zamiast rzeczy wadliwej rzecz wolną od wad albo dokona istotnych (wartość naprawy przekracza 40% wartości rzeczy) </w:t>
      </w:r>
      <w:r w:rsidR="00170B7E">
        <w:rPr>
          <w:rFonts w:eastAsia="Calibri"/>
        </w:rPr>
        <w:t>napraw rzeczy objętej gwarancją</w:t>
      </w:r>
      <w:r w:rsidRPr="00E40EF1">
        <w:rPr>
          <w:rFonts w:eastAsia="Calibri"/>
        </w:rPr>
        <w:t>.</w:t>
      </w:r>
    </w:p>
    <w:p w:rsidR="00F773FE" w:rsidRPr="00E40EF1" w:rsidRDefault="00F773FE" w:rsidP="00F773FE">
      <w:pPr>
        <w:numPr>
          <w:ilvl w:val="0"/>
          <w:numId w:val="3"/>
        </w:numPr>
        <w:spacing w:line="276" w:lineRule="auto"/>
        <w:contextualSpacing/>
        <w:jc w:val="both"/>
        <w:rPr>
          <w:rFonts w:eastAsia="Calibri"/>
        </w:rPr>
      </w:pPr>
      <w:r w:rsidRPr="00E40EF1">
        <w:rPr>
          <w:rFonts w:eastAsia="Calibri"/>
        </w:rPr>
        <w:t>Skorzystanie przez Zamawiającego z uprawnień gwarancyjnych nie wyłącza prawa Zamawiającego do korzystania z uprawnień gwarancyjnych względem Wykonawcy w terminie gwarancji udzielonej przez producenta jeżeli jest ona dłuższa</w:t>
      </w:r>
    </w:p>
    <w:p w:rsidR="00F773FE" w:rsidRPr="00D52060" w:rsidRDefault="00F773FE" w:rsidP="00F773FE">
      <w:pPr>
        <w:numPr>
          <w:ilvl w:val="0"/>
          <w:numId w:val="3"/>
        </w:numPr>
        <w:spacing w:after="200" w:line="276" w:lineRule="auto"/>
        <w:contextualSpacing/>
        <w:jc w:val="both"/>
        <w:rPr>
          <w:rFonts w:eastAsia="Calibri"/>
        </w:rPr>
      </w:pPr>
      <w:r w:rsidRPr="00D52060">
        <w:rPr>
          <w:rFonts w:eastAsia="Calibri"/>
        </w:rPr>
        <w:t xml:space="preserve">W sprawach nieuregulowanych umową, do gwarancji stosuje się przepisy art. 577 </w:t>
      </w:r>
      <w:r w:rsidRPr="00D52060">
        <w:rPr>
          <w:rFonts w:eastAsia="Calibri"/>
        </w:rPr>
        <w:br/>
        <w:t>i następne Kodeksu Cywilnego.</w:t>
      </w:r>
    </w:p>
    <w:p w:rsidR="00F773FE" w:rsidRPr="00D52060" w:rsidRDefault="00F773FE" w:rsidP="00F773FE">
      <w:pPr>
        <w:numPr>
          <w:ilvl w:val="0"/>
          <w:numId w:val="3"/>
        </w:numPr>
        <w:spacing w:after="200" w:line="276" w:lineRule="auto"/>
        <w:contextualSpacing/>
        <w:jc w:val="both"/>
        <w:rPr>
          <w:rFonts w:eastAsia="Calibri"/>
        </w:rPr>
      </w:pPr>
      <w:r w:rsidRPr="00D52060">
        <w:rPr>
          <w:rFonts w:eastAsia="Calibri"/>
        </w:rPr>
        <w:t xml:space="preserve">Do odpowiedzialności wykonawcy z tytułu rękojmi w terminie udzielonej gwarancji stosuje się przepisy Kodeksu Cywilnego. </w:t>
      </w:r>
    </w:p>
    <w:p w:rsidR="00F773FE" w:rsidRPr="00D52060" w:rsidRDefault="00F773FE" w:rsidP="00F773FE">
      <w:pPr>
        <w:spacing w:line="276" w:lineRule="auto"/>
        <w:jc w:val="center"/>
        <w:rPr>
          <w:b/>
        </w:rPr>
      </w:pPr>
    </w:p>
    <w:p w:rsidR="00F773FE" w:rsidRPr="00D52060" w:rsidRDefault="00F773FE" w:rsidP="00F773FE">
      <w:pPr>
        <w:spacing w:line="276" w:lineRule="auto"/>
        <w:jc w:val="center"/>
        <w:rPr>
          <w:b/>
        </w:rPr>
      </w:pPr>
      <w:r w:rsidRPr="00D52060">
        <w:rPr>
          <w:b/>
        </w:rPr>
        <w:t>§ 5</w:t>
      </w:r>
    </w:p>
    <w:p w:rsidR="00F773FE" w:rsidRPr="00D52060" w:rsidRDefault="00F773FE" w:rsidP="00F773FE">
      <w:pPr>
        <w:keepNext/>
        <w:spacing w:line="276" w:lineRule="auto"/>
        <w:jc w:val="center"/>
        <w:outlineLvl w:val="2"/>
        <w:rPr>
          <w:b/>
          <w:u w:val="single"/>
        </w:rPr>
      </w:pPr>
      <w:r w:rsidRPr="00D52060">
        <w:rPr>
          <w:b/>
          <w:u w:val="single"/>
        </w:rPr>
        <w:t>Kary umowne</w:t>
      </w:r>
    </w:p>
    <w:p w:rsidR="00F773FE" w:rsidRPr="00D52060" w:rsidRDefault="00F773FE" w:rsidP="00F773FE">
      <w:pPr>
        <w:numPr>
          <w:ilvl w:val="3"/>
          <w:numId w:val="9"/>
        </w:numPr>
        <w:spacing w:line="276" w:lineRule="auto"/>
        <w:ind w:left="426" w:hanging="284"/>
        <w:jc w:val="both"/>
      </w:pPr>
      <w:r w:rsidRPr="00D52060">
        <w:t>W razie nie wykonania lub nienależytego wykonania umowy Wykonawca zobowiązuje się zapłacić Zamawiającemu karę:</w:t>
      </w:r>
    </w:p>
    <w:p w:rsidR="00F773FE" w:rsidRPr="00D52060" w:rsidRDefault="00FD716F" w:rsidP="00F773FE">
      <w:pPr>
        <w:numPr>
          <w:ilvl w:val="0"/>
          <w:numId w:val="6"/>
        </w:numPr>
        <w:spacing w:line="276" w:lineRule="auto"/>
        <w:ind w:left="851"/>
        <w:jc w:val="both"/>
      </w:pPr>
      <w:r>
        <w:t xml:space="preserve">w wysokości </w:t>
      </w:r>
      <w:r w:rsidRPr="00FD716F">
        <w:rPr>
          <w:b/>
        </w:rPr>
        <w:t>……</w:t>
      </w:r>
      <w:r w:rsidR="00F773FE" w:rsidRPr="00D52060">
        <w:t xml:space="preserve"> ceny brutto pakietu w przypadku opóźnienia w wykonaniu dostawy, za każdy dzień opóźnienia</w:t>
      </w:r>
      <w:r>
        <w:t xml:space="preserve"> z przyczyn leżących po stronie wykonawcy </w:t>
      </w:r>
      <w:r w:rsidR="00F773FE" w:rsidRPr="00D52060">
        <w:t xml:space="preserve"> licząc od daty upływu terminu realizacji umowy określonego do dnia ostatecznego przyjęcia bez zastrzeżeń </w:t>
      </w:r>
      <w:r w:rsidR="00170B7E">
        <w:t xml:space="preserve">przedmiotu umowy </w:t>
      </w:r>
      <w:r w:rsidR="00F773FE" w:rsidRPr="00D52060">
        <w:t>przez Zamawiającego;</w:t>
      </w:r>
    </w:p>
    <w:p w:rsidR="00F773FE" w:rsidRDefault="00F773FE" w:rsidP="00F773FE">
      <w:pPr>
        <w:numPr>
          <w:ilvl w:val="0"/>
          <w:numId w:val="6"/>
        </w:numPr>
        <w:spacing w:line="276" w:lineRule="auto"/>
        <w:ind w:left="851"/>
        <w:jc w:val="both"/>
      </w:pPr>
      <w:r w:rsidRPr="00D52060">
        <w:t>w wysokości 5% ceny brutto pakietu, od które</w:t>
      </w:r>
      <w:r w:rsidRPr="00D52060">
        <w:rPr>
          <w:shd w:val="clear" w:color="auto" w:fill="FFFFFF"/>
        </w:rPr>
        <w:t>go</w:t>
      </w:r>
      <w:r w:rsidRPr="00D52060">
        <w:t xml:space="preserve"> realizacji odstąpiono w całości lub w części z przyczyn leżących po stronie Wykonawcy. </w:t>
      </w:r>
    </w:p>
    <w:p w:rsidR="00F773FE" w:rsidRPr="00F77ACA" w:rsidRDefault="00F773FE" w:rsidP="00F773FE">
      <w:pPr>
        <w:numPr>
          <w:ilvl w:val="0"/>
          <w:numId w:val="6"/>
        </w:numPr>
        <w:spacing w:line="276" w:lineRule="auto"/>
        <w:ind w:left="851"/>
        <w:jc w:val="both"/>
      </w:pPr>
      <w:r>
        <w:t>maksymalna wysokość kar umownych za opóźnienia nie może przekroczyć dwukrotności kary za odstąpienie od umowy.</w:t>
      </w:r>
    </w:p>
    <w:p w:rsidR="00F773FE" w:rsidRDefault="00F773FE" w:rsidP="00F773FE">
      <w:pPr>
        <w:numPr>
          <w:ilvl w:val="3"/>
          <w:numId w:val="9"/>
        </w:numPr>
        <w:ind w:left="426" w:hanging="284"/>
        <w:contextualSpacing/>
        <w:jc w:val="both"/>
        <w:rPr>
          <w:rFonts w:eastAsia="Calibri"/>
          <w:lang w:eastAsia="en-US"/>
        </w:rPr>
      </w:pPr>
      <w:r w:rsidRPr="00F77ACA">
        <w:rPr>
          <w:rFonts w:eastAsia="Calibri"/>
          <w:lang w:eastAsia="en-US"/>
        </w:rPr>
        <w:lastRenderedPageBreak/>
        <w:t>Zamawiający może dochodzić odszkodowania przewyższającego kary umowne</w:t>
      </w:r>
      <w:r>
        <w:rPr>
          <w:rFonts w:eastAsia="Calibri"/>
          <w:lang w:eastAsia="en-US"/>
        </w:rPr>
        <w:t xml:space="preserve"> na zasadach ogólnych k.c</w:t>
      </w:r>
      <w:r w:rsidRPr="00F77ACA">
        <w:rPr>
          <w:rFonts w:eastAsia="Calibri"/>
          <w:lang w:eastAsia="en-US"/>
        </w:rPr>
        <w:t>.</w:t>
      </w:r>
    </w:p>
    <w:p w:rsidR="00F773FE" w:rsidRDefault="00F773FE" w:rsidP="00F773FE">
      <w:pPr>
        <w:numPr>
          <w:ilvl w:val="3"/>
          <w:numId w:val="9"/>
        </w:numPr>
        <w:ind w:left="426" w:hanging="284"/>
        <w:contextualSpacing/>
        <w:jc w:val="both"/>
        <w:rPr>
          <w:rFonts w:eastAsia="Calibri"/>
          <w:lang w:eastAsia="en-US"/>
        </w:rPr>
      </w:pPr>
      <w:r w:rsidRPr="00CA2E07">
        <w:rPr>
          <w:rFonts w:eastAsia="Calibri"/>
          <w:lang w:eastAsia="en-US"/>
        </w:rPr>
        <w:t xml:space="preserve">Wykonawca oświadcza ze wyraża zgodę na </w:t>
      </w:r>
      <w:r w:rsidR="00FD716F">
        <w:rPr>
          <w:rFonts w:eastAsia="Calibri"/>
          <w:lang w:eastAsia="en-US"/>
        </w:rPr>
        <w:t>pomniejszenie należnego wynagrodzenia o wysokość ewentualnych kar umownych.</w:t>
      </w:r>
    </w:p>
    <w:p w:rsidR="00170B7E" w:rsidRPr="00CA2E07" w:rsidRDefault="00170B7E" w:rsidP="00170B7E">
      <w:pPr>
        <w:ind w:left="142"/>
        <w:contextualSpacing/>
        <w:jc w:val="both"/>
        <w:rPr>
          <w:rFonts w:eastAsia="Calibri"/>
          <w:lang w:eastAsia="en-US"/>
        </w:rPr>
      </w:pPr>
    </w:p>
    <w:p w:rsidR="00F773FE" w:rsidRPr="00D52060" w:rsidRDefault="00F773FE" w:rsidP="00F773FE">
      <w:pPr>
        <w:spacing w:line="276" w:lineRule="auto"/>
        <w:jc w:val="center"/>
        <w:rPr>
          <w:b/>
        </w:rPr>
      </w:pPr>
      <w:r w:rsidRPr="00D52060">
        <w:rPr>
          <w:b/>
        </w:rPr>
        <w:t>§ 6</w:t>
      </w:r>
    </w:p>
    <w:p w:rsidR="00F773FE" w:rsidRDefault="00F773FE" w:rsidP="00F773FE">
      <w:pPr>
        <w:spacing w:line="276" w:lineRule="auto"/>
        <w:jc w:val="both"/>
      </w:pPr>
      <w:r w:rsidRPr="00D5206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2477C0">
        <w:rPr>
          <w:color w:val="000000"/>
        </w:rPr>
        <w:t>t.j</w:t>
      </w:r>
      <w:proofErr w:type="spellEnd"/>
      <w:r w:rsidRPr="002477C0">
        <w:rPr>
          <w:color w:val="000000"/>
        </w:rPr>
        <w:t>. Dz. U. z 2018 r., poz. 2190 ze</w:t>
      </w:r>
      <w:r w:rsidRPr="00D52060">
        <w:t xml:space="preserve"> zm.) ma zastosowanie.</w:t>
      </w:r>
    </w:p>
    <w:p w:rsidR="0058292A" w:rsidRPr="00D52060" w:rsidRDefault="0058292A" w:rsidP="00F773FE">
      <w:pPr>
        <w:spacing w:line="276" w:lineRule="auto"/>
        <w:jc w:val="both"/>
        <w:rPr>
          <w:b/>
        </w:rPr>
      </w:pPr>
    </w:p>
    <w:p w:rsidR="00F773FE" w:rsidRPr="00D52060" w:rsidRDefault="00F773FE" w:rsidP="00F773FE">
      <w:pPr>
        <w:spacing w:line="276" w:lineRule="auto"/>
        <w:jc w:val="center"/>
        <w:rPr>
          <w:b/>
        </w:rPr>
      </w:pPr>
      <w:r w:rsidRPr="00D52060">
        <w:rPr>
          <w:b/>
        </w:rPr>
        <w:t>§ 7</w:t>
      </w:r>
    </w:p>
    <w:p w:rsidR="00F773FE" w:rsidRPr="00D52060" w:rsidRDefault="00F773FE" w:rsidP="00F773FE">
      <w:pPr>
        <w:spacing w:line="276" w:lineRule="auto"/>
        <w:jc w:val="center"/>
        <w:rPr>
          <w:b/>
          <w:u w:val="single"/>
        </w:rPr>
      </w:pPr>
      <w:r w:rsidRPr="00D52060">
        <w:rPr>
          <w:b/>
          <w:u w:val="single"/>
        </w:rPr>
        <w:t>Zmiana umowy</w:t>
      </w:r>
    </w:p>
    <w:p w:rsidR="00F773FE" w:rsidRPr="00D52060" w:rsidRDefault="00F773FE" w:rsidP="00F773FE">
      <w:pPr>
        <w:numPr>
          <w:ilvl w:val="0"/>
          <w:numId w:val="7"/>
        </w:numPr>
        <w:spacing w:line="276" w:lineRule="auto"/>
        <w:ind w:left="284"/>
        <w:jc w:val="both"/>
      </w:pPr>
      <w:r w:rsidRPr="00D52060">
        <w:t xml:space="preserve">Zmiana umowy może nastąpić za zgodą obu stron w przypadkach ściśle określonych </w:t>
      </w:r>
      <w:r w:rsidRPr="00D52060">
        <w:br w:type="textWrapping" w:clear="all"/>
      </w:r>
      <w:r w:rsidR="006B616F">
        <w:t>w S</w:t>
      </w:r>
      <w:r w:rsidRPr="00D52060">
        <w:t xml:space="preserve">WZ w formie aneksu. </w:t>
      </w:r>
    </w:p>
    <w:p w:rsidR="00F773FE" w:rsidRDefault="00F773FE" w:rsidP="00F773FE">
      <w:pPr>
        <w:numPr>
          <w:ilvl w:val="0"/>
          <w:numId w:val="7"/>
        </w:numPr>
        <w:spacing w:line="276" w:lineRule="auto"/>
        <w:ind w:left="284"/>
        <w:jc w:val="both"/>
      </w:pPr>
      <w:r w:rsidRPr="00D52060">
        <w:t>Wszelkie zmiany umowy wymagają dla swojej ważności formy pisemnej.</w:t>
      </w:r>
    </w:p>
    <w:p w:rsidR="0058292A" w:rsidRPr="00C0274B" w:rsidRDefault="0058292A" w:rsidP="0058292A">
      <w:pPr>
        <w:spacing w:line="276" w:lineRule="auto"/>
        <w:ind w:left="-76"/>
        <w:jc w:val="both"/>
      </w:pPr>
    </w:p>
    <w:p w:rsidR="00F773FE" w:rsidRPr="00D52060" w:rsidRDefault="00F773FE" w:rsidP="00F773FE">
      <w:pPr>
        <w:spacing w:line="276" w:lineRule="auto"/>
        <w:jc w:val="center"/>
        <w:rPr>
          <w:b/>
        </w:rPr>
      </w:pPr>
      <w:r w:rsidRPr="00D52060">
        <w:rPr>
          <w:b/>
        </w:rPr>
        <w:t>§ 8</w:t>
      </w:r>
    </w:p>
    <w:p w:rsidR="00F773FE" w:rsidRPr="00D52060" w:rsidRDefault="00F773FE" w:rsidP="00F773FE">
      <w:pPr>
        <w:spacing w:line="276" w:lineRule="auto"/>
        <w:jc w:val="center"/>
        <w:rPr>
          <w:b/>
          <w:u w:val="single"/>
        </w:rPr>
      </w:pPr>
      <w:r w:rsidRPr="00D52060">
        <w:rPr>
          <w:b/>
          <w:u w:val="single"/>
        </w:rPr>
        <w:t>Postępowanie polubowne</w:t>
      </w:r>
    </w:p>
    <w:p w:rsidR="00F773FE" w:rsidRPr="00D52060" w:rsidRDefault="00F773FE" w:rsidP="00F773FE">
      <w:pPr>
        <w:numPr>
          <w:ilvl w:val="0"/>
          <w:numId w:val="8"/>
        </w:numPr>
        <w:spacing w:line="276" w:lineRule="auto"/>
        <w:ind w:left="426"/>
        <w:jc w:val="both"/>
      </w:pPr>
      <w:r w:rsidRPr="00D52060">
        <w:t xml:space="preserve">Wszelkie spory strony zobowiązują się załatwić w pierwszej kolejności polubownie. </w:t>
      </w:r>
    </w:p>
    <w:p w:rsidR="00F773FE" w:rsidRDefault="00F773FE" w:rsidP="00F773FE">
      <w:pPr>
        <w:numPr>
          <w:ilvl w:val="0"/>
          <w:numId w:val="8"/>
        </w:numPr>
        <w:spacing w:line="276" w:lineRule="auto"/>
        <w:ind w:left="426"/>
        <w:jc w:val="both"/>
      </w:pPr>
      <w:r w:rsidRPr="00D52060">
        <w:t>Do rozstrzygania sporów Sądowych strony ustalają właściwość Sądu siedziby Zamawiającego.</w:t>
      </w:r>
    </w:p>
    <w:p w:rsidR="0058292A" w:rsidRPr="00D52060" w:rsidRDefault="0058292A" w:rsidP="0058292A">
      <w:pPr>
        <w:spacing w:line="276" w:lineRule="auto"/>
        <w:ind w:left="66"/>
        <w:jc w:val="both"/>
      </w:pPr>
    </w:p>
    <w:p w:rsidR="00F773FE" w:rsidRPr="00D52060" w:rsidRDefault="00F773FE" w:rsidP="00F773FE">
      <w:pPr>
        <w:spacing w:line="276" w:lineRule="auto"/>
        <w:jc w:val="center"/>
        <w:rPr>
          <w:b/>
        </w:rPr>
      </w:pPr>
      <w:r w:rsidRPr="00D52060">
        <w:rPr>
          <w:b/>
        </w:rPr>
        <w:t>§ 9</w:t>
      </w:r>
    </w:p>
    <w:p w:rsidR="00F773FE" w:rsidRPr="00D52060" w:rsidRDefault="00F773FE" w:rsidP="00F773FE">
      <w:pPr>
        <w:spacing w:line="276" w:lineRule="auto"/>
        <w:jc w:val="center"/>
        <w:rPr>
          <w:b/>
          <w:u w:val="single"/>
        </w:rPr>
      </w:pPr>
      <w:r w:rsidRPr="00D52060">
        <w:rPr>
          <w:b/>
          <w:u w:val="single"/>
        </w:rPr>
        <w:t>Pozostałe postanowienia</w:t>
      </w:r>
    </w:p>
    <w:p w:rsidR="00FD716F" w:rsidRPr="003C1941" w:rsidRDefault="00FD716F" w:rsidP="00FD716F">
      <w:pPr>
        <w:numPr>
          <w:ilvl w:val="0"/>
          <w:numId w:val="21"/>
        </w:numPr>
        <w:spacing w:line="276" w:lineRule="auto"/>
        <w:ind w:left="426" w:hanging="426"/>
        <w:jc w:val="both"/>
      </w:pPr>
      <w:r w:rsidRPr="003C1941">
        <w:t>Niniejsza umowa podlega wyłącznie prawu polskiemu. Strony zgodnie wyłączają stosowanie Konwencji Narodów Zjednoczonych o umowach międzynarodowej sprzedaży towarów.</w:t>
      </w:r>
      <w:r>
        <w:br/>
      </w:r>
      <w:r w:rsidRPr="003C1941">
        <w:t>W sprawach nieunormowanych umową oraz do wykładni jej postanowień zastosowanie mają przepisy PZP, K.c. oraz innych obowiązujących aktów prawnych.</w:t>
      </w:r>
    </w:p>
    <w:p w:rsidR="00FD716F" w:rsidRPr="003C1941" w:rsidRDefault="00FD716F" w:rsidP="00FD716F">
      <w:pPr>
        <w:numPr>
          <w:ilvl w:val="0"/>
          <w:numId w:val="21"/>
        </w:numPr>
        <w:spacing w:line="276" w:lineRule="auto"/>
        <w:ind w:left="426" w:hanging="426"/>
        <w:jc w:val="both"/>
      </w:pPr>
      <w:r w:rsidRPr="003C1941">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FD716F" w:rsidRPr="003C1941" w:rsidRDefault="00FD716F" w:rsidP="00FD716F">
      <w:pPr>
        <w:numPr>
          <w:ilvl w:val="0"/>
          <w:numId w:val="21"/>
        </w:numPr>
        <w:spacing w:line="276" w:lineRule="auto"/>
        <w:ind w:left="426" w:hanging="426"/>
        <w:jc w:val="both"/>
      </w:pPr>
      <w:r w:rsidRPr="003C1941">
        <w:t>Zamawiający udostępnia Wykonawcy dane osobowe sw</w:t>
      </w:r>
      <w:r>
        <w:t xml:space="preserve">oich pracowników. Dane te będą </w:t>
      </w:r>
      <w:r w:rsidRPr="003C1941">
        <w:t xml:space="preserve">wykorzystywane i przetwarzane na potrzeby umowy, chyba że przepisy resortowe stanowią inaczej. </w:t>
      </w:r>
    </w:p>
    <w:p w:rsidR="00FD716F" w:rsidRPr="003C1941" w:rsidRDefault="00FD716F" w:rsidP="00FD716F">
      <w:pPr>
        <w:numPr>
          <w:ilvl w:val="0"/>
          <w:numId w:val="21"/>
        </w:numPr>
        <w:spacing w:line="276" w:lineRule="auto"/>
        <w:ind w:left="426" w:hanging="426"/>
        <w:jc w:val="both"/>
      </w:pPr>
      <w:r w:rsidRPr="003C1941">
        <w:t xml:space="preserve">Wykonawca gwarantuje wdrożenie odpowiednich środków technicznych i organizacyjnych, aby przetwarzanie spełniało wymogi i chroniło prawa osób, których </w:t>
      </w:r>
      <w:r w:rsidRPr="003C1941">
        <w:lastRenderedPageBreak/>
        <w:t>dane dotyczą, zgodnie z Rozporządzeniem Parlamentu Europejskiego i Rady (UE) 2016/679 z dnia 27 kwietnia 2016 r. w sprawie ochrony osób fizycznych w związku z przetwarzaniem danych osobowych i w sprawie swobodnego przepływu takich danych, zwane dalej RODO.</w:t>
      </w:r>
    </w:p>
    <w:p w:rsidR="00FD716F" w:rsidRPr="003C1941" w:rsidRDefault="00FD716F" w:rsidP="00FD716F">
      <w:pPr>
        <w:numPr>
          <w:ilvl w:val="0"/>
          <w:numId w:val="21"/>
        </w:numPr>
        <w:spacing w:line="276" w:lineRule="auto"/>
        <w:ind w:left="426" w:hanging="426"/>
        <w:jc w:val="both"/>
      </w:pPr>
      <w:r w:rsidRPr="003C1941">
        <w:t>Wykonawca składając ofertę, przyjmuje do wiadomości, iż jego dane osobowe będą wykorzystywane i przetwarzane na potrzeby realizacji umowy, chyba że przepisy resortowe stanowią inaczej.</w:t>
      </w:r>
    </w:p>
    <w:p w:rsidR="00FD716F" w:rsidRPr="003C1941" w:rsidRDefault="00FD716F" w:rsidP="00FD716F">
      <w:pPr>
        <w:numPr>
          <w:ilvl w:val="0"/>
          <w:numId w:val="21"/>
        </w:numPr>
        <w:spacing w:line="276" w:lineRule="auto"/>
        <w:ind w:left="426" w:hanging="426"/>
        <w:jc w:val="both"/>
      </w:pPr>
      <w:r w:rsidRPr="003C1941">
        <w:t>Zamawiający informuje, że :</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administratorem Pani/Pana danych osobowych jest 4. Wojskowy Szpital Kliniczny z Polikliniką we Wrocławiu</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 xml:space="preserve">administrator wyznaczył Inspektora Danych Osobowych, z którym można się kontaktować pod adresem e-mail: </w:t>
      </w:r>
      <w:hyperlink r:id="rId8" w:history="1">
        <w:r w:rsidRPr="003C1941">
          <w:rPr>
            <w:rStyle w:val="Hipercze"/>
            <w:szCs w:val="24"/>
          </w:rPr>
          <w:t>abi@4wsk.pl</w:t>
        </w:r>
      </w:hyperlink>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Pani/Pana dane osobowe przetwarzane będą na podstawie art. 6 ust. 1 lit. c RODO w celu związanym z przedmiotowym postępowaniem o udzielenie zamówienia publicznego, prowadzonym w trybie przetargu nieograniczonego.</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odbiorcami Pani/Pana danych osobowych będą osoby lub podmioty, którym udostępniona zostanie dokumentacja postępowania w oparciu o art. 74 PZP.</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obowiązek podania przez Panią/Pana danych osobowych bezpośrednio Pani/Pana dotyczących jest wymogiem ustawowym określonym w przepisach PZP, związanym z udziałem w postępowaniu o udzielenie zamówienia publicznego.</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w odniesieniu do Pani/Pana danych osobowych decyzje nie będą podejmowane w sposób zautomatyzowany, stosownie do art. 22 RODO.</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 xml:space="preserve">posiada Pani/Pan: na podstawie art. 15 RODO </w:t>
      </w:r>
    </w:p>
    <w:p w:rsidR="00FD716F" w:rsidRPr="003C1941" w:rsidRDefault="00FD716F" w:rsidP="00FD716F">
      <w:pPr>
        <w:pStyle w:val="pkt"/>
        <w:numPr>
          <w:ilvl w:val="0"/>
          <w:numId w:val="23"/>
        </w:numPr>
        <w:spacing w:before="0" w:after="0" w:line="276" w:lineRule="auto"/>
        <w:ind w:left="1134" w:hanging="425"/>
        <w:rPr>
          <w:szCs w:val="24"/>
        </w:rPr>
      </w:pPr>
      <w:r w:rsidRPr="003C1941">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716F" w:rsidRPr="003C1941" w:rsidRDefault="00FD716F" w:rsidP="00FD716F">
      <w:pPr>
        <w:pStyle w:val="pkt"/>
        <w:numPr>
          <w:ilvl w:val="0"/>
          <w:numId w:val="23"/>
        </w:numPr>
        <w:spacing w:before="0" w:after="0" w:line="276" w:lineRule="auto"/>
        <w:ind w:left="1134" w:hanging="427"/>
        <w:rPr>
          <w:szCs w:val="24"/>
        </w:rPr>
      </w:pPr>
      <w:r w:rsidRPr="003C1941">
        <w:rPr>
          <w:szCs w:val="24"/>
        </w:rPr>
        <w:t>na podstawie art. 16 RODO prawo do sprostowania Pani/Pana danych osobowych (</w:t>
      </w:r>
      <w:r w:rsidRPr="003C1941">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C1941">
        <w:rPr>
          <w:szCs w:val="24"/>
        </w:rPr>
        <w:t>);</w:t>
      </w:r>
    </w:p>
    <w:p w:rsidR="00FD716F" w:rsidRPr="003C1941" w:rsidRDefault="00FD716F" w:rsidP="00FD716F">
      <w:pPr>
        <w:pStyle w:val="pkt"/>
        <w:numPr>
          <w:ilvl w:val="0"/>
          <w:numId w:val="23"/>
        </w:numPr>
        <w:spacing w:before="0" w:after="0" w:line="276" w:lineRule="auto"/>
        <w:ind w:left="1134" w:hanging="427"/>
        <w:rPr>
          <w:szCs w:val="24"/>
        </w:rPr>
      </w:pPr>
      <w:r w:rsidRPr="003C1941">
        <w:rPr>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C1941">
        <w:rPr>
          <w:i/>
          <w:szCs w:val="24"/>
        </w:rPr>
        <w:t xml:space="preserve">prawo do ograniczenia przetwarzania nie ma zastosowania w odniesieniu do przechowywania, w celu zapewnienia korzystania </w:t>
      </w:r>
      <w:r w:rsidRPr="003C1941">
        <w:rPr>
          <w:i/>
          <w:szCs w:val="24"/>
        </w:rPr>
        <w:lastRenderedPageBreak/>
        <w:t>ze środków ochrony prawnej lub w celu ochrony praw innej osoby fizycznej lub prawnej, lub z uwagi na ważne względy interesu publicznego Unii Europejskiej lub państwa członkowskiego</w:t>
      </w:r>
      <w:r w:rsidRPr="003C1941">
        <w:rPr>
          <w:szCs w:val="24"/>
        </w:rPr>
        <w:t>);</w:t>
      </w:r>
    </w:p>
    <w:p w:rsidR="00FD716F" w:rsidRPr="003C1941" w:rsidRDefault="00FD716F" w:rsidP="00FD716F">
      <w:pPr>
        <w:pStyle w:val="pkt"/>
        <w:numPr>
          <w:ilvl w:val="0"/>
          <w:numId w:val="23"/>
        </w:numPr>
        <w:spacing w:before="0" w:after="0" w:line="276" w:lineRule="auto"/>
        <w:ind w:left="1134" w:hanging="427"/>
        <w:rPr>
          <w:szCs w:val="24"/>
        </w:rPr>
      </w:pPr>
      <w:r w:rsidRPr="003C1941">
        <w:rPr>
          <w:szCs w:val="24"/>
        </w:rPr>
        <w:t>prawo do wniesienia skargi do Prezesa Urzędu Ochrony Danych Osobowych, gdy uzna Pani/Pan, że przetwarzanie danych osobowych Pani/Pana dot</w:t>
      </w:r>
      <w:r>
        <w:rPr>
          <w:szCs w:val="24"/>
        </w:rPr>
        <w:t>yczących narusza przepisy RODO;</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nie przysługuje Pani/Panu:</w:t>
      </w:r>
    </w:p>
    <w:p w:rsidR="00FD716F" w:rsidRPr="003C1941" w:rsidRDefault="00FD716F" w:rsidP="00FD716F">
      <w:pPr>
        <w:pStyle w:val="Bezodstpw1"/>
        <w:numPr>
          <w:ilvl w:val="0"/>
          <w:numId w:val="24"/>
        </w:numPr>
        <w:spacing w:line="276" w:lineRule="auto"/>
        <w:ind w:left="1134" w:hanging="425"/>
        <w:jc w:val="both"/>
        <w:rPr>
          <w:szCs w:val="24"/>
        </w:rPr>
      </w:pPr>
      <w:r w:rsidRPr="003C1941">
        <w:rPr>
          <w:szCs w:val="24"/>
        </w:rPr>
        <w:t>w związku z art. 17 ust. 3 lit. b, d lub e RODO prawo do usunięcia danych osobowych;</w:t>
      </w:r>
    </w:p>
    <w:p w:rsidR="00FD716F" w:rsidRPr="003C1941" w:rsidRDefault="00FD716F" w:rsidP="00FD716F">
      <w:pPr>
        <w:pStyle w:val="Bezodstpw1"/>
        <w:numPr>
          <w:ilvl w:val="0"/>
          <w:numId w:val="24"/>
        </w:numPr>
        <w:spacing w:line="276" w:lineRule="auto"/>
        <w:ind w:left="1134" w:hanging="425"/>
        <w:jc w:val="both"/>
        <w:rPr>
          <w:szCs w:val="24"/>
        </w:rPr>
      </w:pPr>
      <w:r w:rsidRPr="003C1941">
        <w:rPr>
          <w:szCs w:val="24"/>
        </w:rPr>
        <w:t>prawo do przenoszenia danych osobowych, o którym mowa w art. 20 RODO;</w:t>
      </w:r>
    </w:p>
    <w:p w:rsidR="00FD716F" w:rsidRPr="003C1941" w:rsidRDefault="00FD716F" w:rsidP="00FD716F">
      <w:pPr>
        <w:pStyle w:val="Bezodstpw1"/>
        <w:numPr>
          <w:ilvl w:val="0"/>
          <w:numId w:val="24"/>
        </w:numPr>
        <w:spacing w:line="276" w:lineRule="auto"/>
        <w:ind w:left="1134" w:hanging="425"/>
        <w:jc w:val="both"/>
        <w:rPr>
          <w:szCs w:val="24"/>
        </w:rPr>
      </w:pPr>
      <w:r w:rsidRPr="003C1941">
        <w:rPr>
          <w:szCs w:val="24"/>
        </w:rPr>
        <w:t xml:space="preserve">na podstawie art. 21 RODO prawo sprzeciwu, wobec przetwarzania danych osobowych, gdyż podstawą prawną przetwarzania Pani/Pana danych osobowych jest art. 6 ust. 1 lit. c RODO; </w:t>
      </w:r>
    </w:p>
    <w:p w:rsidR="00FD716F" w:rsidRPr="003C1941" w:rsidRDefault="00FD716F" w:rsidP="00FD716F">
      <w:pPr>
        <w:pStyle w:val="pkt"/>
        <w:numPr>
          <w:ilvl w:val="0"/>
          <w:numId w:val="22"/>
        </w:numPr>
        <w:spacing w:before="0" w:after="0" w:line="276" w:lineRule="auto"/>
        <w:ind w:left="851" w:hanging="425"/>
        <w:rPr>
          <w:szCs w:val="24"/>
        </w:rPr>
      </w:pPr>
      <w:r w:rsidRPr="003C1941">
        <w:rPr>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773FE" w:rsidRPr="00D52060" w:rsidRDefault="00F773FE" w:rsidP="00F773FE">
      <w:pPr>
        <w:spacing w:after="120" w:line="276" w:lineRule="auto"/>
        <w:jc w:val="center"/>
        <w:rPr>
          <w:b/>
        </w:rPr>
      </w:pPr>
      <w:r w:rsidRPr="00D52060">
        <w:rPr>
          <w:b/>
        </w:rPr>
        <w:t>§ 10</w:t>
      </w:r>
    </w:p>
    <w:p w:rsidR="00F773FE" w:rsidRDefault="00F773FE" w:rsidP="00F773FE">
      <w:pPr>
        <w:spacing w:after="120" w:line="276" w:lineRule="auto"/>
        <w:ind w:left="284"/>
        <w:jc w:val="both"/>
      </w:pPr>
      <w:r w:rsidRPr="00D52060">
        <w:t>Umowę sporządzono w dwóch jednobrzmiących egzemplarzach, po jednym dla każdej ze Stron.</w:t>
      </w:r>
    </w:p>
    <w:p w:rsidR="00FD716F" w:rsidRDefault="00FD716F" w:rsidP="00FD716F">
      <w:pPr>
        <w:spacing w:after="120" w:line="276" w:lineRule="auto"/>
        <w:jc w:val="center"/>
        <w:rPr>
          <w:b/>
        </w:rPr>
      </w:pPr>
      <w:r>
        <w:rPr>
          <w:b/>
        </w:rPr>
        <w:t>§ 11</w:t>
      </w:r>
    </w:p>
    <w:p w:rsidR="00FD716F" w:rsidRPr="0017071E" w:rsidRDefault="00FD716F" w:rsidP="00FD716F">
      <w:pPr>
        <w:pStyle w:val="Nagwek2"/>
        <w:rPr>
          <w:rFonts w:cs="Times New Roman"/>
        </w:rPr>
      </w:pPr>
      <w:r w:rsidRPr="0017071E">
        <w:rPr>
          <w:rFonts w:cs="Times New Roman"/>
        </w:rPr>
        <w:t>Pakiet 1 - System kopi bezpieczeństwa wraz z wdrożeniem i szkoleniem.</w:t>
      </w:r>
    </w:p>
    <w:p w:rsidR="00FD716F" w:rsidRPr="0017071E" w:rsidRDefault="00FD716F" w:rsidP="00FD716F">
      <w:pPr>
        <w:pStyle w:val="Nagwek2"/>
        <w:ind w:left="720"/>
        <w:rPr>
          <w:rFonts w:cs="Times New Roman"/>
          <w:color w:val="000000" w:themeColor="text1"/>
          <w:sz w:val="24"/>
        </w:rPr>
      </w:pPr>
      <w:r w:rsidRPr="0017071E">
        <w:rPr>
          <w:rFonts w:cs="Times New Roman"/>
          <w:color w:val="000000" w:themeColor="text1"/>
          <w:sz w:val="24"/>
        </w:rPr>
        <w:t>Infrastruktura dla systemu backupu</w:t>
      </w:r>
    </w:p>
    <w:p w:rsidR="00FD716F" w:rsidRPr="0017071E" w:rsidRDefault="00FD716F" w:rsidP="00FD716F">
      <w:r w:rsidRPr="0017071E">
        <w:t>Wymagane dostarczenie urządzenia do backupu dyskowego spełniającego poniżej opisane  minimalne parametry funkcjonalne.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410"/>
        <w:gridCol w:w="6095"/>
      </w:tblGrid>
      <w:tr w:rsidR="00FD716F" w:rsidRPr="0017071E" w:rsidTr="0007137E">
        <w:trPr>
          <w:tblHeader/>
        </w:trPr>
        <w:tc>
          <w:tcPr>
            <w:tcW w:w="567" w:type="dxa"/>
            <w:shd w:val="clear" w:color="auto" w:fill="D9D9D9" w:themeFill="background1" w:themeFillShade="D9"/>
            <w:vAlign w:val="center"/>
          </w:tcPr>
          <w:p w:rsidR="00FD716F" w:rsidRPr="0017071E" w:rsidRDefault="00FD716F" w:rsidP="0007137E">
            <w:pPr>
              <w:suppressAutoHyphens/>
              <w:jc w:val="center"/>
            </w:pPr>
            <w:r w:rsidRPr="0017071E">
              <w:t>Lp.</w:t>
            </w:r>
          </w:p>
        </w:tc>
        <w:tc>
          <w:tcPr>
            <w:tcW w:w="2410" w:type="dxa"/>
            <w:shd w:val="clear" w:color="auto" w:fill="D9D9D9" w:themeFill="background1" w:themeFillShade="D9"/>
            <w:vAlign w:val="center"/>
          </w:tcPr>
          <w:p w:rsidR="00FD716F" w:rsidRPr="0017071E" w:rsidRDefault="00FD716F" w:rsidP="0007137E">
            <w:pPr>
              <w:suppressAutoHyphens/>
              <w:jc w:val="center"/>
              <w:rPr>
                <w:bCs/>
              </w:rPr>
            </w:pPr>
            <w:r w:rsidRPr="0017071E">
              <w:rPr>
                <w:bCs/>
              </w:rPr>
              <w:t>Nazwa komponentu</w:t>
            </w:r>
          </w:p>
        </w:tc>
        <w:tc>
          <w:tcPr>
            <w:tcW w:w="6095" w:type="dxa"/>
            <w:shd w:val="clear" w:color="auto" w:fill="D9D9D9" w:themeFill="background1" w:themeFillShade="D9"/>
            <w:vAlign w:val="center"/>
          </w:tcPr>
          <w:p w:rsidR="00FD716F" w:rsidRPr="0017071E" w:rsidRDefault="00FD716F" w:rsidP="0007137E">
            <w:pPr>
              <w:suppressAutoHyphens/>
              <w:ind w:left="-71"/>
              <w:jc w:val="center"/>
              <w:rPr>
                <w:bCs/>
              </w:rPr>
            </w:pPr>
            <w:r w:rsidRPr="0017071E">
              <w:rPr>
                <w:bCs/>
              </w:rPr>
              <w:t xml:space="preserve">Wymagane minimalne parametry techniczne </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w:t>
            </w:r>
          </w:p>
        </w:tc>
        <w:tc>
          <w:tcPr>
            <w:tcW w:w="2410" w:type="dxa"/>
            <w:shd w:val="clear" w:color="auto" w:fill="auto"/>
            <w:vAlign w:val="center"/>
          </w:tcPr>
          <w:p w:rsidR="00FD716F" w:rsidRPr="0017071E" w:rsidRDefault="00FD716F" w:rsidP="0007137E">
            <w:pPr>
              <w:suppressAutoHyphens/>
              <w:rPr>
                <w:rFonts w:eastAsia="Calibri"/>
                <w:bCs/>
              </w:rPr>
            </w:pPr>
            <w:r w:rsidRPr="0017071E">
              <w:t>Definicja</w:t>
            </w:r>
          </w:p>
        </w:tc>
        <w:tc>
          <w:tcPr>
            <w:tcW w:w="6095" w:type="dxa"/>
            <w:shd w:val="clear" w:color="auto" w:fill="auto"/>
          </w:tcPr>
          <w:p w:rsidR="00FD716F" w:rsidRPr="0017071E" w:rsidRDefault="00FD716F" w:rsidP="0007137E">
            <w:pPr>
              <w:suppressAutoHyphens/>
              <w:rPr>
                <w:rFonts w:eastAsia="Calibri"/>
                <w:bCs/>
              </w:rPr>
            </w:pPr>
            <w:r w:rsidRPr="0017071E">
              <w:t xml:space="preserve">Przez urządzenie do backupu dyskowego z </w:t>
            </w:r>
            <w:proofErr w:type="spellStart"/>
            <w:r w:rsidRPr="0017071E">
              <w:t>deduplikacją</w:t>
            </w:r>
            <w:proofErr w:type="spellEnd"/>
            <w:r w:rsidRPr="0017071E">
              <w:t xml:space="preserve"> danych Zamawiający rozumie rozwiązanie charakteryzujące się jednolitą budową typu „</w:t>
            </w:r>
            <w:proofErr w:type="spellStart"/>
            <w:r w:rsidRPr="0017071E">
              <w:t>appliance</w:t>
            </w:r>
            <w:proofErr w:type="spellEnd"/>
            <w:r w:rsidRPr="0017071E">
              <w:t>” pochodzące od jednego producenta i realizujące wszystkie wymagane funkcjonalności. Nie dopuszcza się rozwiązania zbudowanego z niezależnych komponentów sprzętowo-programowych. Urządzenie powinno być oficjalnie dostępne w ofercie producenta przed ukazaniem się niniejszego postepowania.</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2</w:t>
            </w:r>
          </w:p>
        </w:tc>
        <w:tc>
          <w:tcPr>
            <w:tcW w:w="2410" w:type="dxa"/>
            <w:shd w:val="clear" w:color="auto" w:fill="auto"/>
            <w:vAlign w:val="center"/>
          </w:tcPr>
          <w:p w:rsidR="00FD716F" w:rsidRPr="0017071E" w:rsidRDefault="00FD716F" w:rsidP="0007137E">
            <w:pPr>
              <w:suppressAutoHyphens/>
              <w:rPr>
                <w:rFonts w:eastAsia="Calibri"/>
                <w:bCs/>
              </w:rPr>
            </w:pPr>
            <w:r w:rsidRPr="0017071E">
              <w:t>Typ obudowy</w:t>
            </w:r>
          </w:p>
        </w:tc>
        <w:tc>
          <w:tcPr>
            <w:tcW w:w="6095" w:type="dxa"/>
            <w:shd w:val="clear" w:color="auto" w:fill="auto"/>
          </w:tcPr>
          <w:p w:rsidR="00FD716F" w:rsidRPr="0017071E" w:rsidRDefault="00FD716F" w:rsidP="0007137E">
            <w:pPr>
              <w:suppressAutoHyphens/>
              <w:rPr>
                <w:rFonts w:eastAsia="Calibri"/>
                <w:bCs/>
              </w:rPr>
            </w:pPr>
            <w:r w:rsidRPr="0017071E">
              <w:t xml:space="preserve">Urządzenie musi być przystosowana do montażu w szafie </w:t>
            </w:r>
            <w:proofErr w:type="spellStart"/>
            <w:r w:rsidRPr="0017071E">
              <w:t>rack</w:t>
            </w:r>
            <w:proofErr w:type="spellEnd"/>
            <w:r w:rsidRPr="0017071E">
              <w:t xml:space="preserve"> 19”.</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3</w:t>
            </w:r>
          </w:p>
        </w:tc>
        <w:tc>
          <w:tcPr>
            <w:tcW w:w="2410" w:type="dxa"/>
            <w:shd w:val="clear" w:color="auto" w:fill="auto"/>
            <w:vAlign w:val="center"/>
          </w:tcPr>
          <w:p w:rsidR="00FD716F" w:rsidRPr="0017071E" w:rsidRDefault="00FD716F" w:rsidP="0007137E">
            <w:pPr>
              <w:suppressAutoHyphens/>
              <w:rPr>
                <w:rFonts w:eastAsia="Calibri"/>
                <w:bCs/>
              </w:rPr>
            </w:pPr>
            <w:r w:rsidRPr="0017071E">
              <w:t>Przestrzeń dyskowa</w:t>
            </w:r>
          </w:p>
        </w:tc>
        <w:tc>
          <w:tcPr>
            <w:tcW w:w="6095" w:type="dxa"/>
            <w:shd w:val="clear" w:color="auto" w:fill="auto"/>
          </w:tcPr>
          <w:p w:rsidR="00FD716F" w:rsidRPr="0017071E" w:rsidRDefault="00FD716F" w:rsidP="0007137E">
            <w:pPr>
              <w:suppressAutoHyphens/>
              <w:rPr>
                <w:rFonts w:eastAsia="Calibri"/>
                <w:bCs/>
              </w:rPr>
            </w:pPr>
            <w:r w:rsidRPr="0017071E">
              <w:t xml:space="preserve">Urządzenie musi oferować minimum 36 TB przestrzeni użytkowej dla danych (bez </w:t>
            </w:r>
            <w:proofErr w:type="spellStart"/>
            <w:r w:rsidRPr="0017071E">
              <w:t>deduplikacji</w:t>
            </w:r>
            <w:proofErr w:type="spellEnd"/>
            <w:r w:rsidRPr="0017071E">
              <w:t xml:space="preserve">).  </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4</w:t>
            </w:r>
          </w:p>
        </w:tc>
        <w:tc>
          <w:tcPr>
            <w:tcW w:w="2410" w:type="dxa"/>
            <w:shd w:val="clear" w:color="auto" w:fill="auto"/>
            <w:vAlign w:val="center"/>
          </w:tcPr>
          <w:p w:rsidR="00FD716F" w:rsidRPr="0017071E" w:rsidRDefault="00FD716F" w:rsidP="0007137E">
            <w:pPr>
              <w:suppressAutoHyphens/>
              <w:rPr>
                <w:rFonts w:eastAsia="Calibri"/>
                <w:bCs/>
              </w:rPr>
            </w:pPr>
            <w:r w:rsidRPr="0017071E">
              <w:t>Bezpieczeństwo danych</w:t>
            </w:r>
          </w:p>
        </w:tc>
        <w:tc>
          <w:tcPr>
            <w:tcW w:w="6095" w:type="dxa"/>
            <w:shd w:val="clear" w:color="auto" w:fill="auto"/>
          </w:tcPr>
          <w:p w:rsidR="00FD716F" w:rsidRPr="0017071E" w:rsidRDefault="00FD716F" w:rsidP="0007137E">
            <w:pPr>
              <w:contextualSpacing/>
            </w:pPr>
            <w:r w:rsidRPr="0017071E">
              <w:t>Dane przechowywane w obrębie podsystemu dyskowego urządzenia muszą być chronione za pomocą technologii RAID 6.</w:t>
            </w:r>
          </w:p>
          <w:p w:rsidR="00FD716F" w:rsidRPr="0017071E" w:rsidRDefault="00FD716F" w:rsidP="0007137E">
            <w:pPr>
              <w:contextualSpacing/>
            </w:pPr>
            <w:r w:rsidRPr="0017071E">
              <w:t xml:space="preserve">Urządzenie musi weryfikować ewentualne przekłamanie danych w wyniku działań systemu plików / mechanizmów </w:t>
            </w:r>
            <w:r w:rsidRPr="0017071E">
              <w:lastRenderedPageBreak/>
              <w:t>RAID zaimplementowanych w urządzeniu. Wymaga się, aby urządzenie sprawdzało sumy kontrolne zapisywanych fragmentów danych po przejściu danych przez system plików / mechanizmy RAID. Urządzenie musi automatycznie rozpoznawać i naprawiać błędy w locie.</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lastRenderedPageBreak/>
              <w:t>5</w:t>
            </w:r>
          </w:p>
        </w:tc>
        <w:tc>
          <w:tcPr>
            <w:tcW w:w="2410" w:type="dxa"/>
            <w:shd w:val="clear" w:color="auto" w:fill="auto"/>
            <w:vAlign w:val="center"/>
          </w:tcPr>
          <w:p w:rsidR="00FD716F" w:rsidRPr="0017071E" w:rsidRDefault="00FD716F" w:rsidP="0007137E">
            <w:pPr>
              <w:suppressAutoHyphens/>
              <w:rPr>
                <w:rFonts w:eastAsia="Calibri"/>
                <w:bCs/>
              </w:rPr>
            </w:pPr>
            <w:r w:rsidRPr="0017071E">
              <w:t>Możliwość rozbudowy</w:t>
            </w:r>
          </w:p>
        </w:tc>
        <w:tc>
          <w:tcPr>
            <w:tcW w:w="6095" w:type="dxa"/>
            <w:shd w:val="clear" w:color="auto" w:fill="auto"/>
          </w:tcPr>
          <w:p w:rsidR="00FD716F" w:rsidRPr="0017071E" w:rsidRDefault="00FD716F" w:rsidP="0007137E">
            <w:pPr>
              <w:suppressAutoHyphens/>
              <w:rPr>
                <w:rFonts w:eastAsia="Calibri"/>
                <w:bCs/>
              </w:rPr>
            </w:pPr>
            <w:r w:rsidRPr="0017071E">
              <w:t xml:space="preserve">Urządzenie musi umożliwiać rozbudowę pojemności użytkowej dla danych (bez </w:t>
            </w:r>
            <w:proofErr w:type="spellStart"/>
            <w:r w:rsidRPr="0017071E">
              <w:t>deduplikacji</w:t>
            </w:r>
            <w:proofErr w:type="spellEnd"/>
            <w:r w:rsidRPr="0017071E">
              <w:t>) do co najmniej 108 TB bez uwzględniania mechanizmów protekcji.</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6</w:t>
            </w:r>
          </w:p>
        </w:tc>
        <w:tc>
          <w:tcPr>
            <w:tcW w:w="2410" w:type="dxa"/>
            <w:shd w:val="clear" w:color="auto" w:fill="auto"/>
            <w:vAlign w:val="center"/>
          </w:tcPr>
          <w:p w:rsidR="00FD716F" w:rsidRPr="0017071E" w:rsidRDefault="00FD716F" w:rsidP="0007137E">
            <w:pPr>
              <w:suppressAutoHyphens/>
              <w:rPr>
                <w:rFonts w:eastAsia="Calibri"/>
                <w:bCs/>
              </w:rPr>
            </w:pPr>
            <w:r w:rsidRPr="0017071E">
              <w:t>Interfejsy do hostów</w:t>
            </w:r>
          </w:p>
        </w:tc>
        <w:tc>
          <w:tcPr>
            <w:tcW w:w="6095" w:type="dxa"/>
            <w:shd w:val="clear" w:color="auto" w:fill="auto"/>
          </w:tcPr>
          <w:p w:rsidR="00FD716F" w:rsidRPr="0017071E" w:rsidRDefault="00FD716F" w:rsidP="0007137E">
            <w:r w:rsidRPr="0017071E">
              <w:t>Urządzenie musi posiadać minimum:</w:t>
            </w:r>
          </w:p>
          <w:p w:rsidR="00FD716F" w:rsidRPr="0017071E" w:rsidRDefault="00FD716F" w:rsidP="00FD716F">
            <w:pPr>
              <w:pStyle w:val="Akapitzlist"/>
              <w:numPr>
                <w:ilvl w:val="0"/>
                <w:numId w:val="16"/>
              </w:numPr>
              <w:spacing w:after="0"/>
            </w:pPr>
            <w:r w:rsidRPr="0017071E">
              <w:t xml:space="preserve">4 porty Ethernet 1 </w:t>
            </w:r>
            <w:proofErr w:type="spellStart"/>
            <w:r w:rsidRPr="0017071E">
              <w:t>Gb</w:t>
            </w:r>
            <w:proofErr w:type="spellEnd"/>
            <w:r w:rsidRPr="0017071E">
              <w:t xml:space="preserve">/s z możliwością obsługi każdym portem Ethernet protokołów CIFS i NFS oraz </w:t>
            </w:r>
            <w:proofErr w:type="spellStart"/>
            <w:r w:rsidRPr="0017071E">
              <w:t>deduplikacji</w:t>
            </w:r>
            <w:proofErr w:type="spellEnd"/>
            <w:r w:rsidRPr="0017071E">
              <w:t xml:space="preserve"> na źródle,</w:t>
            </w:r>
          </w:p>
          <w:p w:rsidR="00FD716F" w:rsidRPr="0017071E" w:rsidRDefault="00FD716F" w:rsidP="00FD716F">
            <w:pPr>
              <w:pStyle w:val="Akapitzlist"/>
              <w:numPr>
                <w:ilvl w:val="0"/>
                <w:numId w:val="16"/>
              </w:numPr>
              <w:spacing w:after="0"/>
            </w:pPr>
            <w:r w:rsidRPr="0017071E">
              <w:t xml:space="preserve">2 porty Ethernet 10/25 </w:t>
            </w:r>
            <w:proofErr w:type="spellStart"/>
            <w:r w:rsidRPr="0017071E">
              <w:t>Gb</w:t>
            </w:r>
            <w:proofErr w:type="spellEnd"/>
            <w:r w:rsidRPr="0017071E">
              <w:t xml:space="preserve">/s SFP+ z możliwością obsługi każdym portem Ethernet protokołów CIFS i NFS oraz </w:t>
            </w:r>
            <w:proofErr w:type="spellStart"/>
            <w:r w:rsidRPr="0017071E">
              <w:t>deduplikacji</w:t>
            </w:r>
            <w:proofErr w:type="spellEnd"/>
            <w:r w:rsidRPr="0017071E">
              <w:t xml:space="preserve"> na źródle, porty muszą być obsadzone wkładkami 10Gb/s SFP+ SR.</w:t>
            </w:r>
          </w:p>
          <w:p w:rsidR="00FD716F" w:rsidRPr="0017071E" w:rsidRDefault="00FD716F" w:rsidP="0007137E">
            <w:pPr>
              <w:suppressAutoHyphens/>
            </w:pPr>
            <w:r w:rsidRPr="0017071E">
              <w:t>Możliwość rozbudowy o co najmniej 6 portów sieciowych 10/25Gb i/lub FC 16Gb i/lub FC 32Gb</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7</w:t>
            </w:r>
          </w:p>
        </w:tc>
        <w:tc>
          <w:tcPr>
            <w:tcW w:w="2410" w:type="dxa"/>
            <w:shd w:val="clear" w:color="auto" w:fill="auto"/>
            <w:vAlign w:val="center"/>
          </w:tcPr>
          <w:p w:rsidR="00FD716F" w:rsidRPr="0017071E" w:rsidRDefault="00FD716F" w:rsidP="0007137E">
            <w:pPr>
              <w:suppressAutoHyphens/>
              <w:rPr>
                <w:rFonts w:eastAsia="Calibri"/>
                <w:bCs/>
              </w:rPr>
            </w:pPr>
            <w:r w:rsidRPr="0017071E">
              <w:t>Wydajność</w:t>
            </w:r>
          </w:p>
        </w:tc>
        <w:tc>
          <w:tcPr>
            <w:tcW w:w="6095" w:type="dxa"/>
            <w:shd w:val="clear" w:color="auto" w:fill="auto"/>
          </w:tcPr>
          <w:p w:rsidR="00FD716F" w:rsidRPr="0017071E" w:rsidRDefault="00FD716F" w:rsidP="0007137E">
            <w:r w:rsidRPr="0017071E">
              <w:t xml:space="preserve">Urządzenie musi osiągać w maksymalnej konfiguracji zagregowaną wydajność backupu protokołami CIFS / NFS / VTL co najmniej 6 TB/h (dane podawane przez producenta) oraz co najmniej 18 TB/h z wykorzystaniem </w:t>
            </w:r>
            <w:proofErr w:type="spellStart"/>
            <w:r w:rsidRPr="0017071E">
              <w:t>deduplikacji</w:t>
            </w:r>
            <w:proofErr w:type="spellEnd"/>
            <w:r w:rsidRPr="0017071E">
              <w:t xml:space="preserve"> na źródle (dane podawane przez producenta), a także zagregowaną wydajność odtwarzania protokołami CIFS / NFS / VTL co najmniej 6 TB/h (dane podawane przez producenta).</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8</w:t>
            </w:r>
          </w:p>
        </w:tc>
        <w:tc>
          <w:tcPr>
            <w:tcW w:w="2410" w:type="dxa"/>
            <w:shd w:val="clear" w:color="auto" w:fill="auto"/>
            <w:vAlign w:val="center"/>
          </w:tcPr>
          <w:p w:rsidR="00FD716F" w:rsidRPr="0017071E" w:rsidRDefault="00FD716F" w:rsidP="0007137E">
            <w:pPr>
              <w:suppressAutoHyphens/>
              <w:rPr>
                <w:rFonts w:eastAsia="Calibri"/>
                <w:bCs/>
              </w:rPr>
            </w:pPr>
            <w:r w:rsidRPr="0017071E">
              <w:t>Sposób udostępniania zasobów</w:t>
            </w:r>
          </w:p>
        </w:tc>
        <w:tc>
          <w:tcPr>
            <w:tcW w:w="6095" w:type="dxa"/>
            <w:shd w:val="clear" w:color="auto" w:fill="auto"/>
          </w:tcPr>
          <w:p w:rsidR="00FD716F" w:rsidRPr="0017071E" w:rsidRDefault="00FD716F" w:rsidP="0007137E">
            <w:r w:rsidRPr="0017071E">
              <w:t>Urządzenie musi umożliwiać jednoczesny dostęp do całej pojemności urządzenia wszystkimi poniższymi protokołami:</w:t>
            </w:r>
          </w:p>
          <w:p w:rsidR="00FD716F" w:rsidRPr="0017071E" w:rsidRDefault="00FD716F" w:rsidP="00FD716F">
            <w:pPr>
              <w:pStyle w:val="Akapitzlist"/>
              <w:numPr>
                <w:ilvl w:val="0"/>
                <w:numId w:val="17"/>
              </w:numPr>
              <w:spacing w:after="0"/>
            </w:pPr>
            <w:r w:rsidRPr="0017071E">
              <w:t xml:space="preserve">CIFS, NFS i </w:t>
            </w:r>
            <w:proofErr w:type="spellStart"/>
            <w:r w:rsidRPr="0017071E">
              <w:t>deduplikacja</w:t>
            </w:r>
            <w:proofErr w:type="spellEnd"/>
            <w:r w:rsidRPr="0017071E">
              <w:t xml:space="preserve"> na źródle (OST/</w:t>
            </w:r>
            <w:proofErr w:type="spellStart"/>
            <w:r w:rsidRPr="0017071E">
              <w:t>Boost</w:t>
            </w:r>
            <w:proofErr w:type="spellEnd"/>
            <w:r w:rsidRPr="0017071E">
              <w:t>/</w:t>
            </w:r>
            <w:proofErr w:type="spellStart"/>
            <w:r w:rsidRPr="0017071E">
              <w:t>Catalyst</w:t>
            </w:r>
            <w:proofErr w:type="spellEnd"/>
            <w:r w:rsidRPr="0017071E">
              <w:t>) dla interfejsów Ethernet,</w:t>
            </w:r>
          </w:p>
          <w:p w:rsidR="00FD716F" w:rsidRPr="0017071E" w:rsidRDefault="00FD716F" w:rsidP="0007137E">
            <w:r w:rsidRPr="0017071E">
              <w:t xml:space="preserve">Urządzenie musi posiadać obsługę mechanizmów </w:t>
            </w:r>
            <w:proofErr w:type="spellStart"/>
            <w:r w:rsidRPr="0017071E">
              <w:t>deduplikacji</w:t>
            </w:r>
            <w:proofErr w:type="spellEnd"/>
            <w:r w:rsidRPr="0017071E">
              <w:t xml:space="preserve"> dla danych otrzymywanych wszystkimi protokołami (CIFS, NFS, VTL, </w:t>
            </w:r>
            <w:proofErr w:type="spellStart"/>
            <w:r w:rsidRPr="0017071E">
              <w:t>deduplikacja</w:t>
            </w:r>
            <w:proofErr w:type="spellEnd"/>
            <w:r w:rsidRPr="0017071E">
              <w:t xml:space="preserve"> na źródle) przechowywanych w obrębie urządzenia.</w:t>
            </w:r>
          </w:p>
          <w:p w:rsidR="00FD716F" w:rsidRPr="0017071E" w:rsidRDefault="00FD716F" w:rsidP="0007137E">
            <w:pPr>
              <w:rPr>
                <w:rFonts w:eastAsia="Calibri"/>
                <w:bCs/>
              </w:rPr>
            </w:pPr>
            <w:r w:rsidRPr="0017071E">
              <w:t>Oferowane urządzenie musi mieć możliwość emulacji napędów taśmowych LTO oraz emulacji bibliotek taśmowych. Jeżeli do obsługi powyższych funkcjonalności wymagane są dodatkowe licencje, należy je dostarczyć dla całej pojemności urządzenia.</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9</w:t>
            </w:r>
          </w:p>
        </w:tc>
        <w:tc>
          <w:tcPr>
            <w:tcW w:w="2410" w:type="dxa"/>
            <w:shd w:val="clear" w:color="auto" w:fill="auto"/>
            <w:vAlign w:val="center"/>
          </w:tcPr>
          <w:p w:rsidR="00FD716F" w:rsidRPr="0017071E" w:rsidRDefault="00FD716F" w:rsidP="0007137E">
            <w:pPr>
              <w:suppressAutoHyphens/>
              <w:rPr>
                <w:rFonts w:eastAsia="Calibri"/>
                <w:bCs/>
              </w:rPr>
            </w:pPr>
            <w:r w:rsidRPr="0017071E">
              <w:t>Partycjonowanie</w:t>
            </w:r>
          </w:p>
        </w:tc>
        <w:tc>
          <w:tcPr>
            <w:tcW w:w="6095" w:type="dxa"/>
            <w:shd w:val="clear" w:color="auto" w:fill="auto"/>
          </w:tcPr>
          <w:p w:rsidR="00FD716F" w:rsidRPr="0017071E" w:rsidRDefault="00FD716F" w:rsidP="0007137E">
            <w:pPr>
              <w:suppressAutoHyphens/>
              <w:rPr>
                <w:rFonts w:eastAsia="Calibri"/>
                <w:bCs/>
              </w:rPr>
            </w:pPr>
            <w:r w:rsidRPr="0017071E">
              <w:t>Urządzenie musi umożliwiać podział na minimum 36 partycje logiczne w taki sposób, aby każdy z podłączonych systemów backupowych mógł pracować na osobnym urządzeniu logicznym. Jeżeli do obsługi powyższych funkcjonalności wymagane są dodatkowe licencje, należy je dostarczyć dla całej pojemności urządzenia.</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10</w:t>
            </w:r>
          </w:p>
        </w:tc>
        <w:tc>
          <w:tcPr>
            <w:tcW w:w="2410" w:type="dxa"/>
            <w:shd w:val="clear" w:color="auto" w:fill="auto"/>
            <w:vAlign w:val="center"/>
          </w:tcPr>
          <w:p w:rsidR="00FD716F" w:rsidRPr="0017071E" w:rsidRDefault="00FD716F" w:rsidP="0007137E">
            <w:pPr>
              <w:suppressAutoHyphens/>
              <w:rPr>
                <w:rFonts w:eastAsia="Calibri"/>
                <w:bCs/>
              </w:rPr>
            </w:pPr>
            <w:proofErr w:type="spellStart"/>
            <w:r w:rsidRPr="0017071E">
              <w:t>Deduplikacja</w:t>
            </w:r>
            <w:proofErr w:type="spellEnd"/>
            <w:r w:rsidRPr="0017071E">
              <w:t xml:space="preserve"> danych</w:t>
            </w:r>
          </w:p>
        </w:tc>
        <w:tc>
          <w:tcPr>
            <w:tcW w:w="6095" w:type="dxa"/>
            <w:shd w:val="clear" w:color="auto" w:fill="auto"/>
          </w:tcPr>
          <w:p w:rsidR="00FD716F" w:rsidRPr="0017071E" w:rsidRDefault="00FD716F" w:rsidP="0007137E">
            <w:r w:rsidRPr="0017071E">
              <w:t xml:space="preserve">Urządzenie musi </w:t>
            </w:r>
            <w:proofErr w:type="spellStart"/>
            <w:r w:rsidRPr="0017071E">
              <w:t>deduplikować</w:t>
            </w:r>
            <w:proofErr w:type="spellEnd"/>
            <w:r w:rsidRPr="0017071E">
              <w:t xml:space="preserve"> dane </w:t>
            </w:r>
            <w:proofErr w:type="spellStart"/>
            <w:r w:rsidRPr="0017071E">
              <w:t>inline</w:t>
            </w:r>
            <w:proofErr w:type="spellEnd"/>
            <w:r w:rsidRPr="0017071E">
              <w:t xml:space="preserve"> przed zapisem na nośnik dyskowy. Technologia </w:t>
            </w:r>
            <w:proofErr w:type="spellStart"/>
            <w:r w:rsidRPr="0017071E">
              <w:t>deduplikacji</w:t>
            </w:r>
            <w:proofErr w:type="spellEnd"/>
            <w:r w:rsidRPr="0017071E">
              <w:t xml:space="preserve"> musi wykorzystywać algorytm bazujący na zmiennym, dynamicznym bloku. Algorytm ten musi samoczynnie i </w:t>
            </w:r>
            <w:r w:rsidRPr="0017071E">
              <w:lastRenderedPageBreak/>
              <w:t xml:space="preserve">automatycznie dopasowywać się do otrzymywanego strumienia danych. Oznacza to, że urządzenie musi dzielić otrzymany pojedynczy strumień danych na bloki o różnej długości. </w:t>
            </w:r>
          </w:p>
          <w:p w:rsidR="00FD716F" w:rsidRPr="0017071E" w:rsidRDefault="00FD716F" w:rsidP="0007137E">
            <w:r w:rsidRPr="0017071E">
              <w:t xml:space="preserve">Proces </w:t>
            </w:r>
            <w:proofErr w:type="spellStart"/>
            <w:r w:rsidRPr="0017071E">
              <w:t>deduplikacji</w:t>
            </w:r>
            <w:proofErr w:type="spellEnd"/>
            <w:r w:rsidRPr="0017071E">
              <w:t xml:space="preserve"> musi odbywać się </w:t>
            </w:r>
            <w:proofErr w:type="spellStart"/>
            <w:r w:rsidRPr="0017071E">
              <w:t>inline</w:t>
            </w:r>
            <w:proofErr w:type="spellEnd"/>
            <w:r w:rsidRPr="0017071E">
              <w:t xml:space="preserve"> – w pamięci urządzenia, przed zapisem danych na nośnik dyskowy. Rozwiązanie nie może w żadnej fazie korzystać (w całości lub częściowo) z dodatkowego bufora na składowanie danych w postaci oryginalnej (</w:t>
            </w:r>
            <w:proofErr w:type="spellStart"/>
            <w:r w:rsidRPr="0017071E">
              <w:t>niezdeduplikowanej</w:t>
            </w:r>
            <w:proofErr w:type="spellEnd"/>
            <w:r w:rsidRPr="0017071E">
              <w:t>).</w:t>
            </w:r>
          </w:p>
          <w:p w:rsidR="00FD716F" w:rsidRPr="0017071E" w:rsidRDefault="00FD716F" w:rsidP="0007137E">
            <w:r w:rsidRPr="0017071E">
              <w:t xml:space="preserve">Wszystkie unikalne, </w:t>
            </w:r>
            <w:proofErr w:type="spellStart"/>
            <w:r w:rsidRPr="0017071E">
              <w:t>zdeduplikowane</w:t>
            </w:r>
            <w:proofErr w:type="spellEnd"/>
            <w:r w:rsidRPr="0017071E">
              <w:t xml:space="preserve"> bloki przed zapisaniem na dysk muszą być kompresowane.</w:t>
            </w:r>
          </w:p>
          <w:p w:rsidR="00FD716F" w:rsidRPr="0017071E" w:rsidRDefault="00FD716F" w:rsidP="0007137E">
            <w:pPr>
              <w:suppressAutoHyphens/>
              <w:rPr>
                <w:rFonts w:eastAsia="Calibri"/>
                <w:bCs/>
              </w:rPr>
            </w:pPr>
            <w:r w:rsidRPr="0017071E">
              <w:t>Jeżeli do obsługi powyższych funkcjonalności wymagane są dodatkowe licencje, należy je dostarczyć dla całej pojemności urządzenia.</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lastRenderedPageBreak/>
              <w:t>11</w:t>
            </w:r>
          </w:p>
        </w:tc>
        <w:tc>
          <w:tcPr>
            <w:tcW w:w="2410" w:type="dxa"/>
            <w:shd w:val="clear" w:color="auto" w:fill="auto"/>
            <w:vAlign w:val="center"/>
          </w:tcPr>
          <w:p w:rsidR="00FD716F" w:rsidRPr="0017071E" w:rsidRDefault="00FD716F" w:rsidP="0007137E">
            <w:pPr>
              <w:suppressAutoHyphens/>
              <w:rPr>
                <w:rFonts w:eastAsia="Calibri"/>
                <w:bCs/>
              </w:rPr>
            </w:pPr>
            <w:r w:rsidRPr="0017071E">
              <w:t>Replikacja danych</w:t>
            </w:r>
          </w:p>
        </w:tc>
        <w:tc>
          <w:tcPr>
            <w:tcW w:w="6095" w:type="dxa"/>
            <w:shd w:val="clear" w:color="auto" w:fill="auto"/>
          </w:tcPr>
          <w:p w:rsidR="00FD716F" w:rsidRPr="0017071E" w:rsidRDefault="00FD716F" w:rsidP="0007137E">
            <w:r w:rsidRPr="0017071E">
              <w:t xml:space="preserve">Urządzenie musi umożliwiać replikację danych do drugiego urządzenia. </w:t>
            </w:r>
          </w:p>
          <w:p w:rsidR="00FD716F" w:rsidRPr="0017071E" w:rsidRDefault="00FD716F" w:rsidP="0007137E">
            <w:r w:rsidRPr="0017071E">
              <w:t xml:space="preserve">Replikacja musi się odbywać w trybie asynchronicznym. Transmitowane muszą być tylko te fragmenty danych (bloki), które nie znajdują się na docelowym urządzeniu. </w:t>
            </w:r>
          </w:p>
          <w:p w:rsidR="00FD716F" w:rsidRPr="0017071E" w:rsidRDefault="00FD716F" w:rsidP="0007137E">
            <w:r w:rsidRPr="0017071E">
              <w:t>W przypadku wykorzystania portów Ethernet do replikacji urządzenie musi umożliwiać przyjmowanie backupów, odtwarzanie danych, przyjmowanie strumienia replikacji, wysyłanie strumienia replikacji tymi samymi portami.</w:t>
            </w:r>
          </w:p>
          <w:p w:rsidR="00FD716F" w:rsidRPr="0017071E" w:rsidRDefault="00FD716F" w:rsidP="0007137E">
            <w:r w:rsidRPr="0017071E">
              <w:t>Musi istnieć możliwość ograniczenia pasma używanego do replikacji między dwoma urządzeniami.</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12</w:t>
            </w:r>
          </w:p>
        </w:tc>
        <w:tc>
          <w:tcPr>
            <w:tcW w:w="2410" w:type="dxa"/>
            <w:shd w:val="clear" w:color="auto" w:fill="auto"/>
            <w:vAlign w:val="center"/>
          </w:tcPr>
          <w:p w:rsidR="00FD716F" w:rsidRPr="0017071E" w:rsidRDefault="00FD716F" w:rsidP="0007137E">
            <w:pPr>
              <w:suppressAutoHyphens/>
              <w:rPr>
                <w:rFonts w:eastAsia="Calibri"/>
                <w:bCs/>
              </w:rPr>
            </w:pPr>
            <w:r w:rsidRPr="0017071E">
              <w:t>Szyfrowanie danych</w:t>
            </w:r>
          </w:p>
        </w:tc>
        <w:tc>
          <w:tcPr>
            <w:tcW w:w="6095" w:type="dxa"/>
            <w:shd w:val="clear" w:color="auto" w:fill="auto"/>
          </w:tcPr>
          <w:p w:rsidR="00FD716F" w:rsidRPr="0017071E" w:rsidRDefault="00FD716F" w:rsidP="0007137E">
            <w:r w:rsidRPr="0017071E">
              <w:t xml:space="preserve">Urządzenie musi mieć zaimplementowaną funkcjonalność wewnętrznego mechanizmu szyfrowania danych AES-256 realizowaną na poziomie urządzenia zgodnie ze standardem FIPS 140-2. </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13</w:t>
            </w:r>
          </w:p>
        </w:tc>
        <w:tc>
          <w:tcPr>
            <w:tcW w:w="2410" w:type="dxa"/>
            <w:shd w:val="clear" w:color="auto" w:fill="auto"/>
            <w:vAlign w:val="center"/>
          </w:tcPr>
          <w:p w:rsidR="00FD716F" w:rsidRPr="0017071E" w:rsidRDefault="00FD716F" w:rsidP="0007137E">
            <w:pPr>
              <w:suppressAutoHyphens/>
              <w:rPr>
                <w:rFonts w:eastAsia="Calibri"/>
                <w:bCs/>
              </w:rPr>
            </w:pPr>
            <w:r w:rsidRPr="0017071E">
              <w:t>Usuwanie przeterminowanych danych</w:t>
            </w:r>
          </w:p>
        </w:tc>
        <w:tc>
          <w:tcPr>
            <w:tcW w:w="6095" w:type="dxa"/>
            <w:shd w:val="clear" w:color="auto" w:fill="auto"/>
          </w:tcPr>
          <w:p w:rsidR="00FD716F" w:rsidRPr="0017071E" w:rsidRDefault="00FD716F" w:rsidP="0007137E">
            <w:r w:rsidRPr="0017071E">
              <w:t xml:space="preserve">Urządzenie musi automatycznie usuwać przeterminowane dane (bloki danych nienależące do backupów o aktualnej retencji) w procesie czyszczenia. </w:t>
            </w:r>
          </w:p>
          <w:p w:rsidR="00FD716F" w:rsidRPr="0017071E" w:rsidRDefault="00FD716F" w:rsidP="0007137E">
            <w:r w:rsidRPr="0017071E">
              <w:t xml:space="preserve">Proces usuwania przeterminowanych danych (czyszczenia) nie może uniemożliwiać pracy procesów backupu i odtwarzania danych. </w:t>
            </w:r>
          </w:p>
          <w:p w:rsidR="00FD716F" w:rsidRPr="0017071E" w:rsidRDefault="00FD716F" w:rsidP="0007137E">
            <w:pPr>
              <w:suppressAutoHyphens/>
              <w:rPr>
                <w:rFonts w:eastAsia="Calibri"/>
                <w:bCs/>
              </w:rPr>
            </w:pPr>
            <w:r w:rsidRPr="0017071E">
              <w:t>Musi istnieć możliwość zdefiniowania czasu, w którym wykonywany jest proces usuwania przeterminowanych danych (czyszczenia).</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14</w:t>
            </w:r>
          </w:p>
        </w:tc>
        <w:tc>
          <w:tcPr>
            <w:tcW w:w="2410" w:type="dxa"/>
            <w:shd w:val="clear" w:color="auto" w:fill="auto"/>
            <w:vAlign w:val="center"/>
          </w:tcPr>
          <w:p w:rsidR="00FD716F" w:rsidRPr="0017071E" w:rsidRDefault="00FD716F" w:rsidP="0007137E">
            <w:pPr>
              <w:suppressAutoHyphens/>
              <w:rPr>
                <w:rFonts w:eastAsia="Calibri"/>
                <w:bCs/>
              </w:rPr>
            </w:pPr>
            <w:r w:rsidRPr="0017071E">
              <w:t>Bezpieczne usuwanie danych</w:t>
            </w:r>
          </w:p>
        </w:tc>
        <w:tc>
          <w:tcPr>
            <w:tcW w:w="6095" w:type="dxa"/>
            <w:shd w:val="clear" w:color="auto" w:fill="auto"/>
          </w:tcPr>
          <w:p w:rsidR="00FD716F" w:rsidRPr="0017071E" w:rsidRDefault="00FD716F" w:rsidP="0007137E">
            <w:r w:rsidRPr="0017071E">
              <w:t>Urządzenie musi umożliwiać bezpieczne kasowanie składowanych danych zgodnych ze standardem NIST SP 800-88.</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15</w:t>
            </w:r>
          </w:p>
        </w:tc>
        <w:tc>
          <w:tcPr>
            <w:tcW w:w="2410" w:type="dxa"/>
            <w:shd w:val="clear" w:color="auto" w:fill="auto"/>
            <w:vAlign w:val="center"/>
          </w:tcPr>
          <w:p w:rsidR="00FD716F" w:rsidRPr="0017071E" w:rsidRDefault="00FD716F" w:rsidP="0007137E">
            <w:pPr>
              <w:suppressAutoHyphens/>
            </w:pPr>
            <w:r w:rsidRPr="0017071E">
              <w:t>Sposób zarządzania</w:t>
            </w:r>
          </w:p>
        </w:tc>
        <w:tc>
          <w:tcPr>
            <w:tcW w:w="6095" w:type="dxa"/>
            <w:shd w:val="clear" w:color="auto" w:fill="auto"/>
          </w:tcPr>
          <w:p w:rsidR="00FD716F" w:rsidRPr="0017071E" w:rsidRDefault="00FD716F" w:rsidP="0007137E">
            <w:r w:rsidRPr="0017071E">
              <w:t xml:space="preserve">Urządzenie musi mieć możliwość zarządzania poprzez interfejs graficzny dostępny z przeglądarki internetowej. Oprogramowanie do zarządzania musi rezydować oferowanym na urządzeniu </w:t>
            </w:r>
            <w:proofErr w:type="spellStart"/>
            <w:r w:rsidRPr="0017071E">
              <w:t>deduplikacyjnym</w:t>
            </w:r>
            <w:proofErr w:type="spellEnd"/>
            <w:r w:rsidRPr="0017071E">
              <w:t>.</w:t>
            </w:r>
          </w:p>
          <w:p w:rsidR="00FD716F" w:rsidRPr="0017071E" w:rsidRDefault="00FD716F" w:rsidP="0007137E">
            <w:pPr>
              <w:suppressAutoHyphens/>
            </w:pPr>
            <w:r w:rsidRPr="0017071E">
              <w:t>Urządzenie musi umożliwiać ustawienie powiadomień administratora o problemach w urządzeniu za pomocą poczty elektronicznej.</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16</w:t>
            </w:r>
          </w:p>
        </w:tc>
        <w:tc>
          <w:tcPr>
            <w:tcW w:w="2410" w:type="dxa"/>
            <w:shd w:val="clear" w:color="auto" w:fill="auto"/>
            <w:vAlign w:val="center"/>
          </w:tcPr>
          <w:p w:rsidR="00FD716F" w:rsidRPr="0017071E" w:rsidRDefault="00FD716F" w:rsidP="0007137E">
            <w:pPr>
              <w:suppressAutoHyphens/>
            </w:pPr>
            <w:r w:rsidRPr="0017071E">
              <w:t>Kompatybilność</w:t>
            </w:r>
          </w:p>
        </w:tc>
        <w:tc>
          <w:tcPr>
            <w:tcW w:w="6095" w:type="dxa"/>
            <w:shd w:val="clear" w:color="auto" w:fill="auto"/>
          </w:tcPr>
          <w:p w:rsidR="00FD716F" w:rsidRPr="0017071E" w:rsidRDefault="00FD716F" w:rsidP="0007137E">
            <w:r w:rsidRPr="0017071E">
              <w:t xml:space="preserve">Urządzenie musi wspierać (wymagane formalne wsparcie </w:t>
            </w:r>
            <w:r w:rsidRPr="0017071E">
              <w:lastRenderedPageBreak/>
              <w:t xml:space="preserve">producenta urządzenia) co najmniej następujące aplikacje </w:t>
            </w:r>
            <w:proofErr w:type="spellStart"/>
            <w:r w:rsidRPr="0017071E">
              <w:t>backupujące</w:t>
            </w:r>
            <w:proofErr w:type="spellEnd"/>
            <w:r w:rsidRPr="0017071E">
              <w:t xml:space="preserve"> bezpośrednio na oferowane urządzenie: Dell EMC </w:t>
            </w:r>
            <w:proofErr w:type="spellStart"/>
            <w:r w:rsidRPr="0017071E">
              <w:t>Networker</w:t>
            </w:r>
            <w:proofErr w:type="spellEnd"/>
            <w:r w:rsidRPr="0017071E">
              <w:t xml:space="preserve">, Micro </w:t>
            </w:r>
            <w:proofErr w:type="spellStart"/>
            <w:r w:rsidRPr="0017071E">
              <w:t>Focus</w:t>
            </w:r>
            <w:proofErr w:type="spellEnd"/>
            <w:r w:rsidRPr="0017071E">
              <w:t xml:space="preserve"> Data </w:t>
            </w:r>
            <w:proofErr w:type="spellStart"/>
            <w:r w:rsidRPr="0017071E">
              <w:t>Protector</w:t>
            </w:r>
            <w:proofErr w:type="spellEnd"/>
            <w:r w:rsidRPr="0017071E">
              <w:t xml:space="preserve">, IBM BRMS, IBM Spectrum </w:t>
            </w:r>
            <w:proofErr w:type="spellStart"/>
            <w:r w:rsidRPr="0017071E">
              <w:t>Protect</w:t>
            </w:r>
            <w:proofErr w:type="spellEnd"/>
            <w:r w:rsidRPr="0017071E">
              <w:t xml:space="preserve">, </w:t>
            </w:r>
            <w:proofErr w:type="spellStart"/>
            <w:r w:rsidRPr="0017071E">
              <w:t>Veeam</w:t>
            </w:r>
            <w:proofErr w:type="spellEnd"/>
            <w:r w:rsidRPr="0017071E">
              <w:t xml:space="preserve">, Veritas </w:t>
            </w:r>
            <w:proofErr w:type="spellStart"/>
            <w:r w:rsidRPr="0017071E">
              <w:t>NetBackup</w:t>
            </w:r>
            <w:proofErr w:type="spellEnd"/>
            <w:r w:rsidRPr="0017071E">
              <w:t xml:space="preserve">, </w:t>
            </w:r>
            <w:proofErr w:type="spellStart"/>
            <w:r w:rsidRPr="0017071E">
              <w:t>Commvault</w:t>
            </w:r>
            <w:proofErr w:type="spellEnd"/>
            <w:r w:rsidRPr="0017071E">
              <w:t xml:space="preserve">, Microsoft SQL, </w:t>
            </w:r>
            <w:proofErr w:type="spellStart"/>
            <w:r w:rsidRPr="0017071E">
              <w:t>Oracle</w:t>
            </w:r>
            <w:proofErr w:type="spellEnd"/>
            <w:r w:rsidRPr="0017071E">
              <w:t xml:space="preserve"> RMAN, SAP i SAP HANA.</w:t>
            </w:r>
          </w:p>
          <w:p w:rsidR="00FD716F" w:rsidRPr="0017071E" w:rsidRDefault="00FD716F" w:rsidP="0007137E">
            <w:r w:rsidRPr="0017071E">
              <w:t xml:space="preserve">W przypadku przyjmowania backupów od aplikacji: Micro </w:t>
            </w:r>
            <w:proofErr w:type="spellStart"/>
            <w:r w:rsidRPr="0017071E">
              <w:t>Focus</w:t>
            </w:r>
            <w:proofErr w:type="spellEnd"/>
            <w:r w:rsidRPr="0017071E">
              <w:t xml:space="preserve"> Data </w:t>
            </w:r>
            <w:proofErr w:type="spellStart"/>
            <w:r w:rsidRPr="0017071E">
              <w:t>Protector</w:t>
            </w:r>
            <w:proofErr w:type="spellEnd"/>
            <w:r w:rsidRPr="0017071E">
              <w:t xml:space="preserve">, </w:t>
            </w:r>
            <w:proofErr w:type="spellStart"/>
            <w:r w:rsidRPr="0017071E">
              <w:t>Veeam</w:t>
            </w:r>
            <w:proofErr w:type="spellEnd"/>
            <w:r w:rsidRPr="0017071E">
              <w:t xml:space="preserve">, Veritas </w:t>
            </w:r>
            <w:proofErr w:type="spellStart"/>
            <w:r w:rsidRPr="0017071E">
              <w:t>NetBackup</w:t>
            </w:r>
            <w:proofErr w:type="spellEnd"/>
            <w:r w:rsidRPr="0017071E">
              <w:t xml:space="preserve">, </w:t>
            </w:r>
            <w:proofErr w:type="spellStart"/>
            <w:r w:rsidRPr="0017071E">
              <w:t>Commvault</w:t>
            </w:r>
            <w:proofErr w:type="spellEnd"/>
            <w:r w:rsidRPr="0017071E">
              <w:t xml:space="preserve">, Microsoft SQL, </w:t>
            </w:r>
            <w:proofErr w:type="spellStart"/>
            <w:r w:rsidRPr="0017071E">
              <w:t>Oracle</w:t>
            </w:r>
            <w:proofErr w:type="spellEnd"/>
            <w:r w:rsidRPr="0017071E">
              <w:t xml:space="preserve"> RMAN, SAP/</w:t>
            </w:r>
            <w:proofErr w:type="spellStart"/>
            <w:r w:rsidRPr="0017071E">
              <w:t>Oracle</w:t>
            </w:r>
            <w:proofErr w:type="spellEnd"/>
            <w:r w:rsidRPr="0017071E">
              <w:t xml:space="preserve"> i SAP HANA urządzenie musi umożliwiać </w:t>
            </w:r>
            <w:proofErr w:type="spellStart"/>
            <w:r w:rsidRPr="0017071E">
              <w:t>deduplikację</w:t>
            </w:r>
            <w:proofErr w:type="spellEnd"/>
            <w:r w:rsidRPr="0017071E">
              <w:t xml:space="preserve"> na źródle i przesłanie tylko nowych, unikalnych bloków danych poprzez sieć FC i Ethernet.</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lastRenderedPageBreak/>
              <w:t>17</w:t>
            </w:r>
          </w:p>
        </w:tc>
        <w:tc>
          <w:tcPr>
            <w:tcW w:w="2410" w:type="dxa"/>
            <w:shd w:val="clear" w:color="auto" w:fill="auto"/>
            <w:vAlign w:val="center"/>
          </w:tcPr>
          <w:p w:rsidR="00FD716F" w:rsidRPr="0017071E" w:rsidRDefault="00FD716F" w:rsidP="0007137E">
            <w:pPr>
              <w:suppressAutoHyphens/>
            </w:pPr>
            <w:r w:rsidRPr="0017071E">
              <w:t>Redundancja</w:t>
            </w:r>
          </w:p>
        </w:tc>
        <w:tc>
          <w:tcPr>
            <w:tcW w:w="6095" w:type="dxa"/>
            <w:shd w:val="clear" w:color="auto" w:fill="auto"/>
          </w:tcPr>
          <w:p w:rsidR="00FD716F" w:rsidRPr="0017071E" w:rsidRDefault="00FD716F" w:rsidP="0007137E">
            <w:r w:rsidRPr="0017071E">
              <w:t>Redundantne zasilacze i wentylatory.</w:t>
            </w:r>
          </w:p>
        </w:tc>
      </w:tr>
      <w:tr w:rsidR="00FD716F" w:rsidRPr="0017071E" w:rsidTr="0007137E">
        <w:tc>
          <w:tcPr>
            <w:tcW w:w="567" w:type="dxa"/>
            <w:shd w:val="clear" w:color="auto" w:fill="auto"/>
            <w:vAlign w:val="center"/>
          </w:tcPr>
          <w:p w:rsidR="00FD716F" w:rsidRPr="0017071E" w:rsidRDefault="00FD716F" w:rsidP="0007137E">
            <w:pPr>
              <w:suppressAutoHyphens/>
              <w:jc w:val="center"/>
            </w:pPr>
            <w:r w:rsidRPr="0017071E">
              <w:t>18</w:t>
            </w:r>
          </w:p>
        </w:tc>
        <w:tc>
          <w:tcPr>
            <w:tcW w:w="2410" w:type="dxa"/>
            <w:shd w:val="clear" w:color="auto" w:fill="auto"/>
            <w:vAlign w:val="center"/>
          </w:tcPr>
          <w:p w:rsidR="00FD716F" w:rsidRPr="0017071E" w:rsidRDefault="00FD716F" w:rsidP="0007137E">
            <w:pPr>
              <w:suppressAutoHyphens/>
            </w:pPr>
            <w:r w:rsidRPr="0017071E">
              <w:t>Gwarancja</w:t>
            </w:r>
          </w:p>
        </w:tc>
        <w:tc>
          <w:tcPr>
            <w:tcW w:w="6095" w:type="dxa"/>
            <w:shd w:val="clear" w:color="auto" w:fill="auto"/>
          </w:tcPr>
          <w:p w:rsidR="00FD716F" w:rsidRPr="0017071E" w:rsidRDefault="00FD716F" w:rsidP="0007137E">
            <w:r w:rsidRPr="0017071E">
              <w:t>Wymagane 3 letnie wsparcie techniczne z możliwością zgłaszania problemów w trybie 24x7 i z czasem reakcji 4h. Wsparcie musi obejmować wszystkie komponenty oferowanych urządzeń. Wsparcie  musi być oferowane w języku polskim przez polski oddział serwisowy producenta.</w:t>
            </w:r>
          </w:p>
          <w:p w:rsidR="00FD716F" w:rsidRPr="0017071E" w:rsidRDefault="00FD716F" w:rsidP="0007137E">
            <w:r w:rsidRPr="0017071E">
              <w:t>Wykonawca wraz z dostawą urządzeń przedstawi oświadczenie producenta urządzeń, które będzie potwierdzało, że urządzenia objęte są gwarancją na terenie Polski zgodną z wymaganiami Zamawiającego. Oświadczenie to musi zawierać informację o nr seryjnych urządzeń, nr katalogowych urządzeń, dane wykonawcy oraz dane klienta końcowego.</w:t>
            </w:r>
          </w:p>
        </w:tc>
      </w:tr>
    </w:tbl>
    <w:p w:rsidR="00FD716F" w:rsidRPr="0017071E" w:rsidRDefault="00FD716F" w:rsidP="00FD716F"/>
    <w:p w:rsidR="00FD716F" w:rsidRPr="0017071E" w:rsidRDefault="00FD716F" w:rsidP="00FD716F">
      <w:pPr>
        <w:pStyle w:val="Nagwek2"/>
        <w:ind w:left="284" w:hanging="284"/>
        <w:rPr>
          <w:rFonts w:cs="Times New Roman"/>
          <w:color w:val="000000" w:themeColor="text1"/>
          <w:sz w:val="24"/>
        </w:rPr>
      </w:pPr>
      <w:r w:rsidRPr="0017071E">
        <w:rPr>
          <w:rFonts w:cs="Times New Roman"/>
          <w:color w:val="000000" w:themeColor="text1"/>
          <w:sz w:val="24"/>
        </w:rPr>
        <w:t>Oprogramowanie do systemu backupu</w:t>
      </w:r>
    </w:p>
    <w:p w:rsidR="00FD716F" w:rsidRPr="0017071E" w:rsidRDefault="00FD716F" w:rsidP="00FD716F">
      <w:r w:rsidRPr="0017071E">
        <w:t xml:space="preserve">Należy dostarczyć licencje na oprogramowanie do zabezpieczenia środowiska wirtualnego spełniającego poniższe minimalne wymagania funkcjonalne. </w:t>
      </w:r>
    </w:p>
    <w:tbl>
      <w:tblPr>
        <w:tblpPr w:leftFromText="141" w:rightFromText="141" w:vertAnchor="text" w:horzAnchor="margin" w:tblpY="112"/>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8647"/>
      </w:tblGrid>
      <w:tr w:rsidR="00FD716F" w:rsidRPr="0017071E" w:rsidTr="0007137E">
        <w:trPr>
          <w:tblHeader/>
        </w:trPr>
        <w:tc>
          <w:tcPr>
            <w:tcW w:w="701" w:type="dxa"/>
            <w:tcBorders>
              <w:top w:val="single" w:sz="6" w:space="0" w:color="000000"/>
              <w:bottom w:val="single" w:sz="6" w:space="0" w:color="000000"/>
            </w:tcBorders>
            <w:shd w:val="clear" w:color="auto" w:fill="D9D9D9" w:themeFill="background1" w:themeFillShade="D9"/>
          </w:tcPr>
          <w:p w:rsidR="00FD716F" w:rsidRPr="0017071E" w:rsidRDefault="00FD716F" w:rsidP="0007137E">
            <w:pPr>
              <w:pStyle w:val="nr-wiersza"/>
              <w:numPr>
                <w:ilvl w:val="0"/>
                <w:numId w:val="0"/>
              </w:numPr>
              <w:jc w:val="center"/>
              <w:rPr>
                <w:sz w:val="22"/>
                <w:lang w:val="pl-PL"/>
              </w:rPr>
            </w:pPr>
            <w:r w:rsidRPr="0017071E">
              <w:rPr>
                <w:sz w:val="22"/>
                <w:lang w:val="pl-PL"/>
              </w:rPr>
              <w:t>Lp.</w:t>
            </w:r>
          </w:p>
        </w:tc>
        <w:tc>
          <w:tcPr>
            <w:tcW w:w="8647" w:type="dxa"/>
            <w:tcBorders>
              <w:top w:val="single" w:sz="6" w:space="0" w:color="000000"/>
              <w:bottom w:val="single" w:sz="6" w:space="0" w:color="000000"/>
            </w:tcBorders>
            <w:shd w:val="clear" w:color="auto" w:fill="D9D9D9" w:themeFill="background1" w:themeFillShade="D9"/>
          </w:tcPr>
          <w:p w:rsidR="00FD716F" w:rsidRPr="0017071E" w:rsidRDefault="00FD716F" w:rsidP="0007137E">
            <w:pPr>
              <w:jc w:val="both"/>
              <w:rPr>
                <w:lang w:val="x-none"/>
              </w:rPr>
            </w:pPr>
            <w:r w:rsidRPr="0017071E">
              <w:rPr>
                <w:bCs/>
              </w:rPr>
              <w:t>Wymagane minimalne parametry techniczne</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rPr>
                <w:lang w:val="x-none"/>
              </w:rPr>
              <w:t xml:space="preserve">Oprogramowanie musi być produktem przeznaczonym do obsługi środowisk </w:t>
            </w:r>
            <w:proofErr w:type="spellStart"/>
            <w:r w:rsidRPr="0017071E">
              <w:rPr>
                <w:lang w:val="x-none"/>
              </w:rPr>
              <w:t>DataCenter</w:t>
            </w:r>
            <w:proofErr w:type="spellEnd"/>
            <w:r w:rsidRPr="0017071E">
              <w:rPr>
                <w:lang w:val="x-none"/>
              </w:rPr>
              <w:t xml:space="preserve">. Oferowany produkt musi znajdować się w kwadracie liderów Gartner Magic </w:t>
            </w:r>
            <w:proofErr w:type="spellStart"/>
            <w:r w:rsidRPr="0017071E">
              <w:rPr>
                <w:lang w:val="x-none"/>
              </w:rPr>
              <w:t>Quadrant</w:t>
            </w:r>
            <w:proofErr w:type="spellEnd"/>
            <w:r w:rsidRPr="0017071E">
              <w:rPr>
                <w:lang w:val="x-none"/>
              </w:rPr>
              <w:t xml:space="preserve"> for Data Center Backup and </w:t>
            </w:r>
            <w:proofErr w:type="spellStart"/>
            <w:r w:rsidRPr="0017071E">
              <w:rPr>
                <w:lang w:val="x-none"/>
              </w:rPr>
              <w:t>Recovery</w:t>
            </w:r>
            <w:proofErr w:type="spellEnd"/>
            <w:r w:rsidRPr="0017071E">
              <w:rPr>
                <w:lang w:val="x-none"/>
              </w:rPr>
              <w:t xml:space="preserve"> Solutions oraz na ogólnie dostępnej liście referencyjnej Gartner: https://www.gartner.com/reviews/market/data-center-backup-and-recovery-solutions i spełniać minimalne wymaganie : - minimalna liczba referencji 150, - minimalna ocena z referencji 4,5,</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rPr>
                <w:lang w:val="x-none"/>
              </w:rPr>
              <w:t xml:space="preserve">Oprogramowanie musi współpracować z infrastrukturą </w:t>
            </w:r>
            <w:proofErr w:type="spellStart"/>
            <w:r w:rsidRPr="0017071E">
              <w:rPr>
                <w:lang w:val="x-none"/>
              </w:rPr>
              <w:t>VMware</w:t>
            </w:r>
            <w:proofErr w:type="spellEnd"/>
            <w:r w:rsidRPr="0017071E">
              <w:rPr>
                <w:lang w:val="x-none"/>
              </w:rPr>
              <w:t xml:space="preserve"> w wersji 5.5, 6.0, 6.5, 6.7 and 7.0 oraz Microsoft </w:t>
            </w:r>
            <w:proofErr w:type="spellStart"/>
            <w:r w:rsidRPr="0017071E">
              <w:rPr>
                <w:lang w:val="x-none"/>
              </w:rPr>
              <w:t>Hyper</w:t>
            </w:r>
            <w:proofErr w:type="spellEnd"/>
            <w:r w:rsidRPr="0017071E">
              <w:rPr>
                <w:lang w:val="x-none"/>
              </w:rPr>
              <w:t xml:space="preserve">-V 2008R2SP1, 2012, 2012 R2 i 2019. Wszystkie funkcjonalności w specyfikacji muszą być dostępne na wszystkich wspieranych platformach </w:t>
            </w:r>
            <w:proofErr w:type="spellStart"/>
            <w:r w:rsidRPr="0017071E">
              <w:rPr>
                <w:lang w:val="x-none"/>
              </w:rPr>
              <w:t>wirtualizacyjnych</w:t>
            </w:r>
            <w:proofErr w:type="spellEnd"/>
            <w:r w:rsidRPr="0017071E">
              <w:rPr>
                <w:lang w:val="x-none"/>
              </w:rPr>
              <w:t>, chyba, że wyszczególniono inaczej</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rPr>
                <w:lang w:val="x-none"/>
              </w:rPr>
              <w:t xml:space="preserve">Oprogramowanie musi współpracować z hostami zarządzanymi przez </w:t>
            </w:r>
            <w:proofErr w:type="spellStart"/>
            <w:r w:rsidRPr="0017071E">
              <w:rPr>
                <w:lang w:val="x-none"/>
              </w:rPr>
              <w:t>VMware</w:t>
            </w:r>
            <w:proofErr w:type="spellEnd"/>
            <w:r w:rsidRPr="0017071E">
              <w:rPr>
                <w:lang w:val="x-none"/>
              </w:rPr>
              <w:t xml:space="preserve"> </w:t>
            </w:r>
            <w:proofErr w:type="spellStart"/>
            <w:r w:rsidRPr="0017071E">
              <w:rPr>
                <w:lang w:val="x-none"/>
              </w:rPr>
              <w:t>vCenter</w:t>
            </w:r>
            <w:proofErr w:type="spellEnd"/>
            <w:r w:rsidRPr="0017071E">
              <w:rPr>
                <w:lang w:val="x-none"/>
              </w:rPr>
              <w:t xml:space="preserve"> oraz pojedynczymi hostami.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współpracować z hostami zarządzanymi przez System Center Virtual Machine </w:t>
            </w:r>
            <w:proofErr w:type="spellStart"/>
            <w:r w:rsidRPr="0017071E">
              <w:t>Manger</w:t>
            </w:r>
            <w:proofErr w:type="spellEnd"/>
            <w:r w:rsidRPr="0017071E">
              <w:t>, klastrami hostów oraz pojedynczymi hostami.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zapewniać tworzenie kopii zapasowych z sieciowych urządzeń plikowych NAS opartych o SMB, CIFS i/lub NFS oraz bezpośrednio z serwerów plikowych opartych o Windows i Linux.</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Oprogramowanie musi być niezależne sprzętowo i umożliwiać wykorzystanie dowolnej platformy serwerowej i dyskowej</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tworzyć “samowystarczalne” archiwa do odzyskania których nie wymagana jest osobna baza danych z metadanymi </w:t>
            </w:r>
            <w:proofErr w:type="spellStart"/>
            <w:r w:rsidRPr="0017071E">
              <w:t>deduplikowanych</w:t>
            </w:r>
            <w:proofErr w:type="spellEnd"/>
            <w:r w:rsidRPr="0017071E">
              <w:t xml:space="preserve"> bloków</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pozwalać na tworzenie kopii zapasowych w trybach: Pełny, pełny syntetyczny, przyrostowy i odwrotnie przyrostowy (tzw. </w:t>
            </w:r>
            <w:proofErr w:type="spellStart"/>
            <w:r w:rsidRPr="0017071E">
              <w:t>reverse-inremental</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mieć mechanizmy </w:t>
            </w:r>
            <w:proofErr w:type="spellStart"/>
            <w:r w:rsidRPr="0017071E">
              <w:t>deduplikacji</w:t>
            </w:r>
            <w:proofErr w:type="spellEnd"/>
            <w:r w:rsidRPr="0017071E">
              <w:t xml:space="preserve"> i kompresji w celu zmniejszenia wielkości archiwów. Włączenie tych mechanizmów nie może skutkować utratą jakichkolwiek funkcjonalności wymienionych w tej specyfikacji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nie może przechowywać danych o </w:t>
            </w:r>
            <w:proofErr w:type="spellStart"/>
            <w:r w:rsidRPr="0017071E">
              <w:t>deduplikacji</w:t>
            </w:r>
            <w:proofErr w:type="spellEnd"/>
            <w:r w:rsidRPr="0017071E">
              <w:t xml:space="preserve"> w centralnej bazie. Utrata bazy danych używanej przez oprogramowanie nie może prowadzić do utraty możliwości odtworzenia backupu. Metadane </w:t>
            </w:r>
            <w:proofErr w:type="spellStart"/>
            <w:r w:rsidRPr="0017071E">
              <w:t>deduplikacji</w:t>
            </w:r>
            <w:proofErr w:type="spellEnd"/>
            <w:r w:rsidRPr="0017071E">
              <w:t xml:space="preserve"> muszą być przechowywane w plikach backupu.</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pozwalać na rozszerzenie lokalnej przestrzeni backupowej poprzez integrację z Microsoft </w:t>
            </w:r>
            <w:proofErr w:type="spellStart"/>
            <w:r w:rsidRPr="0017071E">
              <w:t>Azure</w:t>
            </w:r>
            <w:proofErr w:type="spellEnd"/>
            <w:r w:rsidRPr="0017071E">
              <w:t xml:space="preserve"> </w:t>
            </w:r>
            <w:proofErr w:type="spellStart"/>
            <w:r w:rsidRPr="0017071E">
              <w:t>Blob</w:t>
            </w:r>
            <w:proofErr w:type="spellEnd"/>
            <w:r w:rsidRPr="0017071E">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nie może instalować żadnych stałych agentów wymagających wdrożenia czy </w:t>
            </w:r>
            <w:proofErr w:type="spellStart"/>
            <w:r w:rsidRPr="0017071E">
              <w:t>upgradowania</w:t>
            </w:r>
            <w:proofErr w:type="spellEnd"/>
            <w:r w:rsidRPr="0017071E">
              <w:t xml:space="preserve"> wewnątrz maszyny wirtualnej dla jakichkolwiek funkcjonalności backupu lub odtwarzania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mieć możliwość uruchamiania dowolnych skryptów przed i po zadaniu backupowym lub przed i po wykonaniu zadania </w:t>
            </w:r>
            <w:proofErr w:type="spellStart"/>
            <w:r w:rsidRPr="0017071E">
              <w:t>snapshota</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oferować portal samoobsługowy, umożliwiający odtwarzanie użytkownikom wirtualnych maszyn, obiektów MS Exchange i baz danych MS SQL oraz </w:t>
            </w:r>
            <w:proofErr w:type="spellStart"/>
            <w:r w:rsidRPr="0017071E">
              <w:t>Oracle</w:t>
            </w:r>
            <w:proofErr w:type="spellEnd"/>
            <w:r w:rsidRPr="0017071E">
              <w:t xml:space="preserve"> (w tym odtwarzanie point-in-</w:t>
            </w:r>
            <w:proofErr w:type="spellStart"/>
            <w:r w:rsidRPr="0017071E">
              <w:t>time</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Oprogramowanie musi zapewniać możliwość delegacji uprawnień do odtwarzania na portalu</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mieć możliwość integracji z innymi systemami poprzez wbudowane </w:t>
            </w:r>
            <w:proofErr w:type="spellStart"/>
            <w:r w:rsidRPr="0017071E">
              <w:t>RESTful</w:t>
            </w:r>
            <w:proofErr w:type="spellEnd"/>
            <w:r w:rsidRPr="0017071E">
              <w:t xml:space="preserve"> API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mieć wbudowane mechanizmy backupu konfiguracji w celu prostego odtworzenia systemu po całkowitej </w:t>
            </w:r>
            <w:proofErr w:type="spellStart"/>
            <w:r w:rsidRPr="0017071E">
              <w:t>reinstalacji</w:t>
            </w:r>
            <w:proofErr w:type="spellEnd"/>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mieć wbudowane mechanizmy szyfrowania zarówno plików z backupami jak i transmisji sieciowej. Włączenie szyfrowania nie może skutkować utratą jakiejkolwiek funkcjonalności wymienionej w tej specyfikacji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posiadać mechanizmy chroniące przed utratą hasła szyfrowania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backup maszyn wirtualnych używających współdzielonych dysków VHDX na </w:t>
            </w:r>
            <w:proofErr w:type="spellStart"/>
            <w:r w:rsidRPr="0017071E">
              <w:t>Hyper</w:t>
            </w:r>
            <w:proofErr w:type="spellEnd"/>
            <w:r w:rsidRPr="0017071E">
              <w:t>-V (</w:t>
            </w:r>
            <w:proofErr w:type="spellStart"/>
            <w:r w:rsidRPr="0017071E">
              <w:t>shared</w:t>
            </w:r>
            <w:proofErr w:type="spellEnd"/>
            <w:r w:rsidRPr="0017071E">
              <w:t xml:space="preserve"> VHDX)</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posiadać architekturę klient/serwer z możliwością instalacji wielu instancji konsoli administracyjnych.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wykorzystywać mechanizmy </w:t>
            </w:r>
            <w:proofErr w:type="spellStart"/>
            <w:r w:rsidRPr="0017071E">
              <w:t>Change</w:t>
            </w:r>
            <w:proofErr w:type="spellEnd"/>
            <w:r w:rsidRPr="0017071E">
              <w:t xml:space="preserve"> Block </w:t>
            </w:r>
            <w:proofErr w:type="spellStart"/>
            <w:r w:rsidRPr="0017071E">
              <w:t>Tracking</w:t>
            </w:r>
            <w:proofErr w:type="spellEnd"/>
            <w:r w:rsidRPr="0017071E">
              <w:t xml:space="preserve"> na wszystkich wspieranych platformach </w:t>
            </w:r>
            <w:proofErr w:type="spellStart"/>
            <w:r w:rsidRPr="0017071E">
              <w:t>wirtualizacyjnych</w:t>
            </w:r>
            <w:proofErr w:type="spellEnd"/>
            <w:r w:rsidRPr="0017071E">
              <w:t xml:space="preserve">. Mechanizmy muszą być certyfikowane przez dostawcę platformy </w:t>
            </w:r>
            <w:proofErr w:type="spellStart"/>
            <w:r w:rsidRPr="0017071E">
              <w:t>wirtualizacyjnej</w:t>
            </w:r>
            <w:proofErr w:type="spellEnd"/>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w:t>
            </w:r>
            <w:proofErr w:type="spellStart"/>
            <w:r w:rsidRPr="0017071E">
              <w:t>wykorzystywanać</w:t>
            </w:r>
            <w:proofErr w:type="spellEnd"/>
            <w:r w:rsidRPr="0017071E">
              <w:t xml:space="preserve"> </w:t>
            </w:r>
            <w:proofErr w:type="spellStart"/>
            <w:r w:rsidRPr="0017071E">
              <w:t>mechnizmy</w:t>
            </w:r>
            <w:proofErr w:type="spellEnd"/>
            <w:r w:rsidRPr="0017071E">
              <w:t xml:space="preserve"> śledzenia zmienionych plików </w:t>
            </w:r>
            <w:r w:rsidRPr="0017071E">
              <w:lastRenderedPageBreak/>
              <w:t>przy zabezpieczaniu udziałów plikowych.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oferować możliwość sterowania obciążeniem </w:t>
            </w:r>
            <w:proofErr w:type="spellStart"/>
            <w:r w:rsidRPr="0017071E">
              <w:t>storage'u</w:t>
            </w:r>
            <w:proofErr w:type="spellEnd"/>
            <w:r w:rsidRPr="0017071E">
              <w:t xml:space="preserve"> produkcyjnego tak aby nie przekraczane były skonfigurowane przez administratora backupu poziomy latencji. Funkcjonalność ta musi być dostępna na wszystkich wspieranych platformach </w:t>
            </w:r>
            <w:proofErr w:type="spellStart"/>
            <w:r w:rsidRPr="0017071E">
              <w:t>wirtualizacyjnych</w:t>
            </w:r>
            <w:proofErr w:type="spellEnd"/>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oferować ten mechanizm z dokładnością do pojedynczego </w:t>
            </w:r>
            <w:proofErr w:type="spellStart"/>
            <w:r w:rsidRPr="0017071E">
              <w:t>datastoru</w:t>
            </w:r>
            <w:proofErr w:type="spellEnd"/>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rPr>
                <w:lang w:val="x-none"/>
              </w:rPr>
            </w:pPr>
            <w:r w:rsidRPr="0017071E">
              <w:t xml:space="preserve">Oprogramowanie musi automatycznie wykrywać i usuwać </w:t>
            </w:r>
            <w:proofErr w:type="spellStart"/>
            <w:r w:rsidRPr="0017071E">
              <w:t>snapshoty</w:t>
            </w:r>
            <w:proofErr w:type="spellEnd"/>
            <w:r w:rsidRPr="0017071E">
              <w:t>-sieroty (</w:t>
            </w:r>
            <w:proofErr w:type="spellStart"/>
            <w:r w:rsidRPr="0017071E">
              <w:t>orphaned</w:t>
            </w:r>
            <w:proofErr w:type="spellEnd"/>
            <w:r w:rsidRPr="0017071E">
              <w:t xml:space="preserve"> </w:t>
            </w:r>
            <w:proofErr w:type="spellStart"/>
            <w:r w:rsidRPr="0017071E">
              <w:t>snapshots</w:t>
            </w:r>
            <w:proofErr w:type="spellEnd"/>
            <w:r w:rsidRPr="0017071E">
              <w:t>), które mogą zakłócić poprawne wykonanie backupu. Proces ten nie może wymagać interakcji administratora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zapewniać tworzenie kopii zapasowych z bezpośrednim wykorzystaniem </w:t>
            </w:r>
            <w:proofErr w:type="spellStart"/>
            <w:r w:rsidRPr="0017071E">
              <w:t>snapshotów</w:t>
            </w:r>
            <w:proofErr w:type="spellEnd"/>
            <w:r w:rsidRPr="0017071E">
              <w:t xml:space="preserve"> macierzowych. Musi też zapewniać odtwarzanie maszyn wirtualnych z takich </w:t>
            </w:r>
            <w:proofErr w:type="spellStart"/>
            <w:r w:rsidRPr="0017071E">
              <w:t>snapshotów</w:t>
            </w:r>
            <w:proofErr w:type="spellEnd"/>
            <w:r w:rsidRPr="0017071E">
              <w:t xml:space="preserve">. Proces wykonania kopii zapasowej nie może wymagać użycia jakichkolwiek hostów tymczasowych. Opisana funkcjonalność powinna działać w środowisku </w:t>
            </w:r>
            <w:proofErr w:type="spellStart"/>
            <w:r w:rsidRPr="0017071E">
              <w:t>VMware</w:t>
            </w:r>
            <w:proofErr w:type="spellEnd"/>
            <w:r w:rsidRPr="0017071E">
              <w:t xml:space="preserve"> i być dostępna dla następujących macierzy: HPE, Dell EMC, </w:t>
            </w:r>
            <w:proofErr w:type="spellStart"/>
            <w:r w:rsidRPr="0017071E">
              <w:t>NetApp</w:t>
            </w:r>
            <w:proofErr w:type="spellEnd"/>
            <w:r w:rsidRPr="0017071E">
              <w:t xml:space="preserve">, Cisco, IBM, </w:t>
            </w:r>
            <w:proofErr w:type="spellStart"/>
            <w:r w:rsidRPr="0017071E">
              <w:t>Lenovo</w:t>
            </w:r>
            <w:proofErr w:type="spellEnd"/>
            <w:r w:rsidRPr="0017071E">
              <w:t xml:space="preserve">, Fujitsu, </w:t>
            </w:r>
            <w:proofErr w:type="spellStart"/>
            <w:r w:rsidRPr="0017071E">
              <w:t>Huawei</w:t>
            </w:r>
            <w:proofErr w:type="spellEnd"/>
            <w:r w:rsidRPr="0017071E">
              <w:t xml:space="preserve">, INFINIDAT, </w:t>
            </w:r>
            <w:proofErr w:type="spellStart"/>
            <w:r w:rsidRPr="0017071E">
              <w:t>Pure</w:t>
            </w:r>
            <w:proofErr w:type="spellEnd"/>
            <w:r w:rsidRPr="0017071E">
              <w:t xml:space="preserve"> Storage.</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posiadać wsparcie dla </w:t>
            </w:r>
            <w:proofErr w:type="spellStart"/>
            <w:r w:rsidRPr="0017071E">
              <w:t>VMware</w:t>
            </w:r>
            <w:proofErr w:type="spellEnd"/>
            <w:r w:rsidRPr="0017071E">
              <w:t xml:space="preserve"> </w:t>
            </w:r>
            <w:proofErr w:type="spellStart"/>
            <w:r w:rsidRPr="0017071E">
              <w:t>vSAN</w:t>
            </w:r>
            <w:proofErr w:type="spellEnd"/>
            <w:r w:rsidRPr="0017071E">
              <w:t xml:space="preserve"> potwierdzone odpowiednią certyfikacją </w:t>
            </w:r>
            <w:proofErr w:type="spellStart"/>
            <w:r w:rsidRPr="0017071E">
              <w:t>VMware</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wspierać kopiowanie backupów na taśmy wraz z pełnym śledzeniem wirtualnych maszyn</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posiadać wsparcie dla NDMP</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mieć możliwość tworzenia retencji GFS (</w:t>
            </w:r>
            <w:proofErr w:type="spellStart"/>
            <w:r w:rsidRPr="0017071E">
              <w:t>Grandfather-Father-Son</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umieć korzystać z protokołu DDBOOST w przypadku, gdy repozytorium backupów jest umiejscowione na Dell EMC </w:t>
            </w:r>
            <w:proofErr w:type="spellStart"/>
            <w:r w:rsidRPr="0017071E">
              <w:t>DataDomain</w:t>
            </w:r>
            <w:proofErr w:type="spellEnd"/>
            <w:r w:rsidRPr="0017071E">
              <w:t>. Funkcjonalność powinna wspierać łącze sieciowe lub FC.</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umieć korzystać z protokołu </w:t>
            </w:r>
            <w:proofErr w:type="spellStart"/>
            <w:r w:rsidRPr="0017071E">
              <w:t>Catalyst</w:t>
            </w:r>
            <w:proofErr w:type="spellEnd"/>
            <w:r w:rsidRPr="0017071E">
              <w:t xml:space="preserve"> (w tym </w:t>
            </w:r>
            <w:proofErr w:type="spellStart"/>
            <w:r w:rsidRPr="0017071E">
              <w:t>Catalyst</w:t>
            </w:r>
            <w:proofErr w:type="spellEnd"/>
            <w:r w:rsidRPr="0017071E">
              <w:t xml:space="preserve"> </w:t>
            </w:r>
            <w:proofErr w:type="spellStart"/>
            <w:r w:rsidRPr="0017071E">
              <w:t>Copy</w:t>
            </w:r>
            <w:proofErr w:type="spellEnd"/>
            <w:r w:rsidRPr="0017071E">
              <w:t xml:space="preserve">) w przypadku, gdy repozytorium backupów jest umiejscowione na HPE </w:t>
            </w:r>
            <w:proofErr w:type="spellStart"/>
            <w:r w:rsidRPr="0017071E">
              <w:t>StoreOnce</w:t>
            </w:r>
            <w:proofErr w:type="spellEnd"/>
            <w:r w:rsidRPr="0017071E">
              <w:t>. Funkcjonalność powinna wspierać łącze sieciowe lub FC.</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BlockClone</w:t>
            </w:r>
            <w:proofErr w:type="spellEnd"/>
            <w:r w:rsidRPr="0017071E">
              <w:t xml:space="preserve"> API w przypadku użycia Windows Server 2016 lub 2019 z systemem pliku </w:t>
            </w:r>
            <w:proofErr w:type="spellStart"/>
            <w:r w:rsidRPr="0017071E">
              <w:t>ReFS</w:t>
            </w:r>
            <w:proofErr w:type="spellEnd"/>
            <w:r w:rsidRPr="0017071E">
              <w:t xml:space="preserve"> jako repozytorium backupu. Podobna funkcjonalność musi być zapewniona dla repozytoriów opartych o </w:t>
            </w:r>
            <w:proofErr w:type="spellStart"/>
            <w:r w:rsidRPr="0017071E">
              <w:t>linuxowy</w:t>
            </w:r>
            <w:proofErr w:type="spellEnd"/>
            <w:r w:rsidRPr="0017071E">
              <w:t xml:space="preserve"> system plików XFS.</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Repozytoria oparte o XFS muszą pozwalać na </w:t>
            </w:r>
            <w:proofErr w:type="spellStart"/>
            <w:r w:rsidRPr="0017071E">
              <w:t>zmiezmienność</w:t>
            </w:r>
            <w:proofErr w:type="spellEnd"/>
            <w:r w:rsidRPr="0017071E">
              <w:t xml:space="preserve"> danych przez określoną ilość czasu (</w:t>
            </w:r>
            <w:proofErr w:type="spellStart"/>
            <w:r w:rsidRPr="0017071E">
              <w:t>tzw</w:t>
            </w:r>
            <w:proofErr w:type="spellEnd"/>
            <w:r w:rsidRPr="0017071E">
              <w:t xml:space="preserve"> </w:t>
            </w:r>
            <w:proofErr w:type="spellStart"/>
            <w:r w:rsidRPr="0017071E">
              <w:t>Immutability</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mieć możliwość kopiowania backupów oraz replikacji wirtualnych maszyn z wykorzystaniem wbudowanej akceleracji WAN.</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mieć możliwość replikacji asynchronicznej włączonych wirtualnych maszyn bezpośrednio z infrastruktury </w:t>
            </w:r>
            <w:proofErr w:type="spellStart"/>
            <w:r w:rsidRPr="0017071E">
              <w:t>VMware</w:t>
            </w:r>
            <w:proofErr w:type="spellEnd"/>
            <w:r w:rsidRPr="0017071E">
              <w:t xml:space="preserve"> </w:t>
            </w:r>
            <w:proofErr w:type="spellStart"/>
            <w:r w:rsidRPr="0017071E">
              <w:t>vSphere</w:t>
            </w:r>
            <w:proofErr w:type="spellEnd"/>
            <w:r w:rsidRPr="0017071E">
              <w:t xml:space="preserve"> pomiędzy hostami </w:t>
            </w:r>
            <w:proofErr w:type="spellStart"/>
            <w:r w:rsidRPr="0017071E">
              <w:t>ESXi</w:t>
            </w:r>
            <w:proofErr w:type="spellEnd"/>
            <w:r w:rsidRPr="0017071E">
              <w:t xml:space="preserve"> oraz pomiędzy hostami </w:t>
            </w:r>
            <w:proofErr w:type="spellStart"/>
            <w:r w:rsidRPr="0017071E">
              <w:t>Hyper</w:t>
            </w:r>
            <w:proofErr w:type="spellEnd"/>
            <w:r w:rsidRPr="0017071E">
              <w:t>-V. Dodatkowo oprogramowanie musi mieć możliwość użycia plików kopii zapasowych jako źródła replikacji.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mieć możliwość replikacji ciągłej, opartej o </w:t>
            </w:r>
            <w:proofErr w:type="spellStart"/>
            <w:r w:rsidRPr="0017071E">
              <w:t>VMware</w:t>
            </w:r>
            <w:proofErr w:type="spellEnd"/>
            <w:r w:rsidRPr="0017071E">
              <w:t xml:space="preserve"> VAIO, włączonych wirtualnych maszyn bezpośrednio z infrastruktury </w:t>
            </w:r>
            <w:proofErr w:type="spellStart"/>
            <w:r w:rsidRPr="0017071E">
              <w:t>VMware</w:t>
            </w:r>
            <w:proofErr w:type="spellEnd"/>
            <w:r w:rsidRPr="0017071E">
              <w:t xml:space="preserve"> </w:t>
            </w:r>
            <w:proofErr w:type="spellStart"/>
            <w:r w:rsidRPr="0017071E">
              <w:t>vSphere</w:t>
            </w:r>
            <w:proofErr w:type="spellEnd"/>
            <w:r w:rsidRPr="0017071E">
              <w:t xml:space="preserve">. Dla replikacji ciągłej musi być </w:t>
            </w:r>
            <w:proofErr w:type="spellStart"/>
            <w:r w:rsidRPr="0017071E">
              <w:t>możliwośc</w:t>
            </w:r>
            <w:proofErr w:type="spellEnd"/>
            <w:r w:rsidRPr="0017071E">
              <w:t xml:space="preserve"> zdefiniowania dziennika pozwalającego na odzyskanie danych z dowolnego punku w ramach ustalonego parametru RPO.</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umożliwiać przechowywanie punktów przywracania dla replik</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umożliwiać wykorzystanie istniejących w infrastrukturze wirtualnych maszyn jako źródła do dalszej replikacji (</w:t>
            </w:r>
            <w:proofErr w:type="spellStart"/>
            <w:r w:rsidRPr="0017071E">
              <w:t>replica</w:t>
            </w:r>
            <w:proofErr w:type="spellEnd"/>
            <w:r w:rsidRPr="0017071E">
              <w:t xml:space="preserve"> </w:t>
            </w:r>
            <w:proofErr w:type="spellStart"/>
            <w:r w:rsidRPr="0017071E">
              <w:t>seeding</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wykorzystywać wszystkie oferowane przez </w:t>
            </w:r>
            <w:proofErr w:type="spellStart"/>
            <w:r w:rsidRPr="0017071E">
              <w:t>hypervisor</w:t>
            </w:r>
            <w:proofErr w:type="spellEnd"/>
            <w:r w:rsidRPr="0017071E">
              <w:t xml:space="preserve"> tryby transportu (sieć, hot-</w:t>
            </w:r>
            <w:proofErr w:type="spellStart"/>
            <w:r w:rsidRPr="0017071E">
              <w:t>add</w:t>
            </w:r>
            <w:proofErr w:type="spellEnd"/>
            <w:r w:rsidRPr="0017071E">
              <w:t xml:space="preserve">, LAN </w:t>
            </w:r>
            <w:proofErr w:type="spellStart"/>
            <w:r w:rsidRPr="0017071E">
              <w:t>Free</w:t>
            </w:r>
            <w:proofErr w:type="spellEnd"/>
            <w:r w:rsidRPr="0017071E">
              <w:t>-SAN)</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umożliwiać jednoczesne uruchomienie wielu maszyn wirtualnych bezpośrednio ze </w:t>
            </w:r>
            <w:proofErr w:type="spellStart"/>
            <w:r w:rsidRPr="0017071E">
              <w:t>zdeduplikowanego</w:t>
            </w:r>
            <w:proofErr w:type="spellEnd"/>
            <w:r w:rsidRPr="0017071E">
              <w:t xml:space="preserve"> i skompresowanego pliku backupu, z dowolnego punktu przywracania, bez potrzeby kopiowania jej na </w:t>
            </w:r>
            <w:proofErr w:type="spellStart"/>
            <w:r w:rsidRPr="0017071E">
              <w:t>storage</w:t>
            </w:r>
            <w:proofErr w:type="spellEnd"/>
            <w:r w:rsidRPr="0017071E">
              <w:t xml:space="preserve"> produkcyjny. Funkcjonalność musi być oferowana dla środowisk </w:t>
            </w:r>
            <w:proofErr w:type="spellStart"/>
            <w:r w:rsidRPr="0017071E">
              <w:t>VMware</w:t>
            </w:r>
            <w:proofErr w:type="spellEnd"/>
            <w:r w:rsidRPr="0017071E">
              <w:t xml:space="preserve"> oraz </w:t>
            </w:r>
            <w:proofErr w:type="spellStart"/>
            <w:r w:rsidRPr="0017071E">
              <w:t>Hyper</w:t>
            </w:r>
            <w:proofErr w:type="spellEnd"/>
            <w:r w:rsidRPr="0017071E">
              <w:t xml:space="preserve">-V niezależnie od rodzaju </w:t>
            </w:r>
            <w:proofErr w:type="spellStart"/>
            <w:r w:rsidRPr="0017071E">
              <w:t>storage’u</w:t>
            </w:r>
            <w:proofErr w:type="spellEnd"/>
            <w:r w:rsidRPr="0017071E">
              <w:t xml:space="preserve"> użytego do przechowywania kopii zapasowych.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Dodatkowo dla środowiska </w:t>
            </w:r>
            <w:proofErr w:type="spellStart"/>
            <w:r w:rsidRPr="0017071E">
              <w:t>vSphere</w:t>
            </w:r>
            <w:proofErr w:type="spellEnd"/>
            <w:r w:rsidRPr="0017071E">
              <w:t xml:space="preserve"> i </w:t>
            </w:r>
            <w:proofErr w:type="spellStart"/>
            <w:r w:rsidRPr="0017071E">
              <w:t>Hyper</w:t>
            </w:r>
            <w:proofErr w:type="spellEnd"/>
            <w:r w:rsidRPr="0017071E">
              <w:t xml:space="preserve">-V powyższa funkcjonalność powinna umożliwiać uruchomianie backupu z innych platform (inne </w:t>
            </w:r>
            <w:proofErr w:type="spellStart"/>
            <w:r w:rsidRPr="0017071E">
              <w:t>wirtualizatory</w:t>
            </w:r>
            <w:proofErr w:type="spellEnd"/>
            <w:r w:rsidRPr="0017071E">
              <w:t>, maszyny fizyczne oraz chmura publiczna)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pozwalać na migrację on-</w:t>
            </w:r>
            <w:proofErr w:type="spellStart"/>
            <w:r w:rsidRPr="0017071E">
              <w:t>line</w:t>
            </w:r>
            <w:proofErr w:type="spellEnd"/>
            <w:r w:rsidRPr="0017071E">
              <w:t xml:space="preserve"> tak uruchomionych maszyn na </w:t>
            </w:r>
            <w:proofErr w:type="spellStart"/>
            <w:r w:rsidRPr="0017071E">
              <w:t>storage</w:t>
            </w:r>
            <w:proofErr w:type="spellEnd"/>
            <w:r w:rsidRPr="0017071E">
              <w:t xml:space="preserve"> produkcyjny. Migracja powinna odbywać się mechanizmami wbudowanymi w </w:t>
            </w:r>
            <w:proofErr w:type="spellStart"/>
            <w:r w:rsidRPr="0017071E">
              <w:t>hypervisor</w:t>
            </w:r>
            <w:proofErr w:type="spellEnd"/>
            <w:r w:rsidRPr="0017071E">
              <w:t xml:space="preserve">. Jeżeli licencja na </w:t>
            </w:r>
            <w:proofErr w:type="spellStart"/>
            <w:r w:rsidRPr="0017071E">
              <w:t>hypervisor</w:t>
            </w:r>
            <w:proofErr w:type="spellEnd"/>
            <w:r w:rsidRPr="0017071E">
              <w:t xml:space="preserve"> nie posiada takich funkcjonalności - oprogramowanie musi realizować taką migrację swoimi mechanizmami</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pozwalać na zaprezentowanie pojedynczego dysku bezpośrednio z kopii zapasowej do wybranej działającej maszyny wirtualnej </w:t>
            </w:r>
            <w:proofErr w:type="spellStart"/>
            <w:r w:rsidRPr="0017071E">
              <w:t>vSphere</w:t>
            </w:r>
            <w:proofErr w:type="spellEnd"/>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umożliwiać pełne odtworzenie wirtualnej maszyny, plików konfiguracji i dysków</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umożliwiać pełne odtworzenie wirtualnej maszyny bezpośrednio do Microsoft </w:t>
            </w:r>
            <w:proofErr w:type="spellStart"/>
            <w:r w:rsidRPr="0017071E">
              <w:t>Azure</w:t>
            </w:r>
            <w:proofErr w:type="spellEnd"/>
            <w:r w:rsidRPr="0017071E">
              <w:t xml:space="preserve">, Microsoft </w:t>
            </w:r>
            <w:proofErr w:type="spellStart"/>
            <w:r w:rsidRPr="0017071E">
              <w:t>Azure</w:t>
            </w:r>
            <w:proofErr w:type="spellEnd"/>
            <w:r w:rsidRPr="0017071E">
              <w:t xml:space="preserve"> </w:t>
            </w:r>
            <w:proofErr w:type="spellStart"/>
            <w:r w:rsidRPr="0017071E">
              <w:t>Stack</w:t>
            </w:r>
            <w:proofErr w:type="spellEnd"/>
            <w:r w:rsidRPr="0017071E">
              <w:t xml:space="preserve"> oraz Amazon EC2.</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mieć możliwość odtworzenia plików bezpośrednio do maszyny wirtualnej poprzez sieć, przy pomocy VIX API dla platformy </w:t>
            </w:r>
            <w:proofErr w:type="spellStart"/>
            <w:r w:rsidRPr="0017071E">
              <w:t>VMware</w:t>
            </w:r>
            <w:proofErr w:type="spellEnd"/>
            <w:r w:rsidRPr="0017071E">
              <w:t xml:space="preserve"> i </w:t>
            </w:r>
            <w:proofErr w:type="spellStart"/>
            <w:r w:rsidRPr="0017071E">
              <w:t>PowerShell</w:t>
            </w:r>
            <w:proofErr w:type="spellEnd"/>
            <w:r w:rsidRPr="0017071E">
              <w:t xml:space="preserve"> Direct dla platformy </w:t>
            </w:r>
            <w:proofErr w:type="spellStart"/>
            <w:r w:rsidRPr="0017071E">
              <w:t>Hyper</w:t>
            </w:r>
            <w:proofErr w:type="spellEnd"/>
            <w:r w:rsidRPr="0017071E">
              <w:t>-V.</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odtwarzanie pojedynczych plików z następujących systemów plików:  </w:t>
            </w:r>
          </w:p>
          <w:p w:rsidR="00FD716F" w:rsidRPr="0017071E" w:rsidRDefault="00FD716F" w:rsidP="00FD716F">
            <w:pPr>
              <w:pStyle w:val="Akapitzlist"/>
              <w:numPr>
                <w:ilvl w:val="0"/>
                <w:numId w:val="17"/>
              </w:numPr>
              <w:spacing w:after="0" w:line="240" w:lineRule="auto"/>
              <w:jc w:val="both"/>
              <w:rPr>
                <w:lang w:val="en-US"/>
              </w:rPr>
            </w:pPr>
            <w:r w:rsidRPr="0017071E">
              <w:rPr>
                <w:lang w:val="en-US"/>
              </w:rPr>
              <w:t xml:space="preserve">Linux: ext2, ext3, ext4, </w:t>
            </w:r>
            <w:proofErr w:type="spellStart"/>
            <w:r w:rsidRPr="0017071E">
              <w:rPr>
                <w:lang w:val="en-US"/>
              </w:rPr>
              <w:t>ReiserFS</w:t>
            </w:r>
            <w:proofErr w:type="spellEnd"/>
            <w:r w:rsidRPr="0017071E">
              <w:rPr>
                <w:lang w:val="en-US"/>
              </w:rPr>
              <w:t xml:space="preserve">, JFS, XFS, </w:t>
            </w:r>
            <w:proofErr w:type="spellStart"/>
            <w:r w:rsidRPr="0017071E">
              <w:rPr>
                <w:lang w:val="en-US"/>
              </w:rPr>
              <w:t>Btrfs</w:t>
            </w:r>
            <w:proofErr w:type="spellEnd"/>
            <w:r w:rsidRPr="0017071E">
              <w:rPr>
                <w:lang w:val="en-US"/>
              </w:rPr>
              <w:t xml:space="preserve"> </w:t>
            </w:r>
          </w:p>
          <w:p w:rsidR="00FD716F" w:rsidRPr="0017071E" w:rsidRDefault="00FD716F" w:rsidP="00FD716F">
            <w:pPr>
              <w:pStyle w:val="Akapitzlist"/>
              <w:numPr>
                <w:ilvl w:val="0"/>
                <w:numId w:val="17"/>
              </w:numPr>
              <w:spacing w:after="0" w:line="240" w:lineRule="auto"/>
              <w:jc w:val="both"/>
            </w:pPr>
            <w:r w:rsidRPr="0017071E">
              <w:t xml:space="preserve">BSD: UFS, UFS2 </w:t>
            </w:r>
          </w:p>
          <w:p w:rsidR="00FD716F" w:rsidRPr="0017071E" w:rsidRDefault="00FD716F" w:rsidP="00FD716F">
            <w:pPr>
              <w:pStyle w:val="Akapitzlist"/>
              <w:numPr>
                <w:ilvl w:val="0"/>
                <w:numId w:val="17"/>
              </w:numPr>
              <w:spacing w:after="0" w:line="240" w:lineRule="auto"/>
              <w:jc w:val="both"/>
            </w:pPr>
            <w:r w:rsidRPr="0017071E">
              <w:t xml:space="preserve">Solaris: ZFS, UFS </w:t>
            </w:r>
          </w:p>
          <w:p w:rsidR="00FD716F" w:rsidRPr="0017071E" w:rsidRDefault="00FD716F" w:rsidP="00FD716F">
            <w:pPr>
              <w:pStyle w:val="Akapitzlist"/>
              <w:numPr>
                <w:ilvl w:val="0"/>
                <w:numId w:val="17"/>
              </w:numPr>
              <w:spacing w:after="0" w:line="240" w:lineRule="auto"/>
              <w:jc w:val="both"/>
              <w:rPr>
                <w:lang w:val="en-US"/>
              </w:rPr>
            </w:pPr>
            <w:r w:rsidRPr="0017071E">
              <w:rPr>
                <w:lang w:val="en-US"/>
              </w:rPr>
              <w:t xml:space="preserve">Mac: HFS, HFS+ </w:t>
            </w:r>
          </w:p>
          <w:p w:rsidR="00FD716F" w:rsidRPr="0017071E" w:rsidRDefault="00FD716F" w:rsidP="00FD716F">
            <w:pPr>
              <w:pStyle w:val="Akapitzlist"/>
              <w:numPr>
                <w:ilvl w:val="0"/>
                <w:numId w:val="17"/>
              </w:numPr>
              <w:spacing w:after="0" w:line="240" w:lineRule="auto"/>
              <w:jc w:val="both"/>
              <w:rPr>
                <w:lang w:val="en-US"/>
              </w:rPr>
            </w:pPr>
            <w:r w:rsidRPr="0017071E">
              <w:rPr>
                <w:lang w:val="en-US"/>
              </w:rPr>
              <w:t xml:space="preserve">Windows: NTFS, FAT, FAT32, </w:t>
            </w:r>
            <w:proofErr w:type="spellStart"/>
            <w:r w:rsidRPr="0017071E">
              <w:rPr>
                <w:lang w:val="en-US"/>
              </w:rPr>
              <w:t>ReFS</w:t>
            </w:r>
            <w:proofErr w:type="spellEnd"/>
            <w:r w:rsidRPr="0017071E">
              <w:rPr>
                <w:lang w:val="en-US"/>
              </w:rPr>
              <w:t xml:space="preserve"> </w:t>
            </w:r>
          </w:p>
          <w:p w:rsidR="00FD716F" w:rsidRPr="0017071E" w:rsidRDefault="00FD716F" w:rsidP="00FD716F">
            <w:pPr>
              <w:pStyle w:val="Akapitzlist"/>
              <w:numPr>
                <w:ilvl w:val="0"/>
                <w:numId w:val="20"/>
              </w:numPr>
              <w:spacing w:after="0" w:line="240" w:lineRule="auto"/>
              <w:jc w:val="both"/>
            </w:pPr>
            <w:r w:rsidRPr="0017071E">
              <w:t>Novell OES: NSS</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przywracanie plików z partycji Linux LVM oraz Windows Storage </w:t>
            </w:r>
            <w:proofErr w:type="spellStart"/>
            <w:r w:rsidRPr="0017071E">
              <w:t>Spaces</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umożliwiać szybkie </w:t>
            </w:r>
            <w:proofErr w:type="spellStart"/>
            <w:r w:rsidRPr="0017071E">
              <w:t>granularne</w:t>
            </w:r>
            <w:proofErr w:type="spellEnd"/>
            <w:r w:rsidRPr="0017071E">
              <w:t xml:space="preserve"> odtwarzanie obiektów aplikacji bez użycia jakiegokolwiek agenta zainstalowanego wewnątrz maszyny wirtualnej.</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granularne</w:t>
            </w:r>
            <w:proofErr w:type="spellEnd"/>
            <w:r w:rsidRPr="0017071E">
              <w:t xml:space="preserve"> odtwarzanie obiektów Active Directory takich jak konta komputerów, konta użytkowników oraz pozwalać na odtworzenie haseł.</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granularne</w:t>
            </w:r>
            <w:proofErr w:type="spellEnd"/>
            <w:r w:rsidRPr="0017071E">
              <w:t xml:space="preserve"> odtwarzanie dowolnych atrybutów, rekordów DNS zintegrowanych z AD, Microsoft System Objects, certyfikatów CA oraz elementów AD </w:t>
            </w:r>
            <w:proofErr w:type="spellStart"/>
            <w:r w:rsidRPr="0017071E">
              <w:t>Sites</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granularne</w:t>
            </w:r>
            <w:proofErr w:type="spellEnd"/>
            <w:r w:rsidRPr="0017071E">
              <w:t xml:space="preserve"> odtwarzanie Microsoft Exchange 2010 i nowszych (dowolny obiekt w tym obiekty w folderze "</w:t>
            </w:r>
            <w:proofErr w:type="spellStart"/>
            <w:r w:rsidRPr="0017071E">
              <w:t>Permanently</w:t>
            </w:r>
            <w:proofErr w:type="spellEnd"/>
            <w:r w:rsidRPr="0017071E">
              <w:t xml:space="preserve"> </w:t>
            </w:r>
            <w:proofErr w:type="spellStart"/>
            <w:r w:rsidRPr="0017071E">
              <w:t>Deleted</w:t>
            </w:r>
            <w:proofErr w:type="spellEnd"/>
            <w:r w:rsidRPr="0017071E">
              <w:t xml:space="preserve"> Objects"),</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wspierać przywracanie danych Exchange do oryginalnego środowiska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granularne</w:t>
            </w:r>
            <w:proofErr w:type="spellEnd"/>
            <w:r w:rsidRPr="0017071E">
              <w:t xml:space="preserve"> odtwarzanie Microsoft SQL 2005 i nowszych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wspierać odtworzenie point-in-</w:t>
            </w:r>
            <w:proofErr w:type="spellStart"/>
            <w:r w:rsidRPr="0017071E">
              <w:t>time</w:t>
            </w:r>
            <w:proofErr w:type="spellEnd"/>
            <w:r w:rsidRPr="0017071E">
              <w:t xml:space="preserve"> wraz z możliwością przywrócenia bazy do oryginalnego środowiska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granularne</w:t>
            </w:r>
            <w:proofErr w:type="spellEnd"/>
            <w:r w:rsidRPr="0017071E">
              <w:t xml:space="preserve"> odtwarzanie Microsoft </w:t>
            </w:r>
            <w:proofErr w:type="spellStart"/>
            <w:r w:rsidRPr="0017071E">
              <w:t>Sharepoint</w:t>
            </w:r>
            <w:proofErr w:type="spellEnd"/>
            <w:r w:rsidRPr="0017071E">
              <w:t xml:space="preserve"> 2010 i nowszych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odtworzenia elementów, witryn, uprawnień dla witryn </w:t>
            </w:r>
            <w:proofErr w:type="spellStart"/>
            <w:r w:rsidRPr="0017071E">
              <w:t>Sharepoint</w:t>
            </w:r>
            <w:proofErr w:type="spellEnd"/>
            <w:r w:rsidRPr="0017071E">
              <w:t>.</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wspierać </w:t>
            </w:r>
            <w:proofErr w:type="spellStart"/>
            <w:r w:rsidRPr="0017071E">
              <w:t>granularne</w:t>
            </w:r>
            <w:proofErr w:type="spellEnd"/>
            <w:r w:rsidRPr="0017071E">
              <w:t xml:space="preserve"> odtwarzanie baz danych </w:t>
            </w:r>
            <w:proofErr w:type="spellStart"/>
            <w:r w:rsidRPr="0017071E">
              <w:t>Oracle</w:t>
            </w:r>
            <w:proofErr w:type="spellEnd"/>
            <w:r w:rsidRPr="0017071E">
              <w:t xml:space="preserve"> z opcją odtwarzanie point-in-</w:t>
            </w:r>
            <w:proofErr w:type="spellStart"/>
            <w:r w:rsidRPr="0017071E">
              <w:t>time</w:t>
            </w:r>
            <w:proofErr w:type="spellEnd"/>
            <w:r w:rsidRPr="0017071E">
              <w:t xml:space="preserve"> wraz z włączonym </w:t>
            </w:r>
            <w:proofErr w:type="spellStart"/>
            <w:r w:rsidRPr="0017071E">
              <w:t>Oracle</w:t>
            </w:r>
            <w:proofErr w:type="spellEnd"/>
            <w:r w:rsidRPr="0017071E">
              <w:t xml:space="preserve"> </w:t>
            </w:r>
            <w:proofErr w:type="spellStart"/>
            <w:r w:rsidRPr="0017071E">
              <w:t>DataGuard</w:t>
            </w:r>
            <w:proofErr w:type="spellEnd"/>
            <w:r w:rsidRPr="0017071E">
              <w:t>. Funkcjonalność ta musi być dostępna dla baz uruchomionych w środowiskach Windows oraz Linux.</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pozwalać na zaprezentowanie oraz migrację online baz MS SQL oraz </w:t>
            </w:r>
            <w:proofErr w:type="spellStart"/>
            <w:r w:rsidRPr="0017071E">
              <w:t>Oracle</w:t>
            </w:r>
            <w:proofErr w:type="spellEnd"/>
            <w:r w:rsidRPr="0017071E">
              <w:t xml:space="preserve"> bezpośrednio z pliku kopii zapasowej do działającego serwera bazodanowego</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posiadać natywną integrację dla backupów wykonywanych poprzez </w:t>
            </w:r>
            <w:proofErr w:type="spellStart"/>
            <w:r w:rsidRPr="0017071E">
              <w:t>Oracle</w:t>
            </w:r>
            <w:proofErr w:type="spellEnd"/>
            <w:r w:rsidRPr="0017071E">
              <w:t xml:space="preserve"> RMAN</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posiadać natywną integrację dla backupów wykonywanych poprzez SAP HANA</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wspierać także specyficzne metody odtwarzania w tym "</w:t>
            </w:r>
            <w:proofErr w:type="spellStart"/>
            <w:r w:rsidRPr="0017071E">
              <w:t>reverse</w:t>
            </w:r>
            <w:proofErr w:type="spellEnd"/>
            <w:r w:rsidRPr="0017071E">
              <w:t xml:space="preserve"> CBT" oraz odtwarzanie z wykorzystaniem sieci SAN</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dawać możliwość stworzenia laboratorium (izolowane środowisko) dla </w:t>
            </w:r>
            <w:proofErr w:type="spellStart"/>
            <w:r w:rsidRPr="0017071E">
              <w:t>vSphere</w:t>
            </w:r>
            <w:proofErr w:type="spellEnd"/>
            <w:r w:rsidRPr="0017071E">
              <w:t xml:space="preserve"> i </w:t>
            </w:r>
            <w:proofErr w:type="spellStart"/>
            <w:r w:rsidRPr="0017071E">
              <w:t>Hyper</w:t>
            </w:r>
            <w:proofErr w:type="spellEnd"/>
            <w:r w:rsidRPr="0017071E">
              <w:t>-V używając wirtualnych maszyn uruchamianych bezpośrednio z plików backupu.</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 Dla </w:t>
            </w:r>
            <w:proofErr w:type="spellStart"/>
            <w:r w:rsidRPr="0017071E">
              <w:t>VMware’a</w:t>
            </w:r>
            <w:proofErr w:type="spellEnd"/>
            <w:r w:rsidRPr="0017071E">
              <w:t xml:space="preserve"> oprogramowanie musi pozwalać na uruchomienie takiego środowiska bezpośrednio ze </w:t>
            </w:r>
            <w:proofErr w:type="spellStart"/>
            <w:r w:rsidRPr="0017071E">
              <w:t>snapshotów</w:t>
            </w:r>
            <w:proofErr w:type="spellEnd"/>
            <w:r w:rsidRPr="0017071E">
              <w:t xml:space="preserve"> macierzowych stworzonych na wspieranych urządzeniach.</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mieć podobne mechanizmy dla replik w środowisku </w:t>
            </w:r>
            <w:proofErr w:type="spellStart"/>
            <w:r w:rsidRPr="0017071E">
              <w:t>vSphere</w:t>
            </w:r>
            <w:proofErr w:type="spellEnd"/>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 xml:space="preserve">Oprogramowanie musi umożliwiać integrację z oprogramowaniem antywirusowym w celu wykonania </w:t>
            </w:r>
            <w:proofErr w:type="spellStart"/>
            <w:r w:rsidRPr="0017071E">
              <w:t>skanu</w:t>
            </w:r>
            <w:proofErr w:type="spellEnd"/>
            <w:r w:rsidRPr="0017071E">
              <w:t xml:space="preserve"> zawartości pliku backupowego przed odtworzeniem jakichkolwiek danych. Integracja musi być zapewniona minimalnie dla Windows </w:t>
            </w:r>
            <w:proofErr w:type="spellStart"/>
            <w:r w:rsidRPr="0017071E">
              <w:t>Defender</w:t>
            </w:r>
            <w:proofErr w:type="spellEnd"/>
            <w:r w:rsidRPr="0017071E">
              <w:t xml:space="preserve">, Symantec </w:t>
            </w:r>
            <w:proofErr w:type="spellStart"/>
            <w:r w:rsidRPr="0017071E">
              <w:t>Protection</w:t>
            </w:r>
            <w:proofErr w:type="spellEnd"/>
            <w:r w:rsidRPr="0017071E">
              <w:t xml:space="preserve"> Engine oraz ESET NOD32.</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Oprogramowanie musi umożliwiać dwuetapowe, automatyczne, odtwarzanie maszyn wirtualnych z możliwością wstrzyknięcia dowolnego skryptu przed odtworzeniem danych do środowiska produkcyjnego.</w:t>
            </w:r>
          </w:p>
        </w:tc>
      </w:tr>
      <w:tr w:rsidR="00FD716F" w:rsidRPr="0017071E" w:rsidTr="0007137E">
        <w:trPr>
          <w:trHeight w:val="340"/>
        </w:trPr>
        <w:tc>
          <w:tcPr>
            <w:tcW w:w="701" w:type="dxa"/>
            <w:tcBorders>
              <w:top w:val="single" w:sz="6" w:space="0" w:color="000000"/>
              <w:bottom w:val="single" w:sz="6" w:space="0" w:color="000000"/>
            </w:tcBorders>
          </w:tcPr>
          <w:p w:rsidR="00FD716F" w:rsidRPr="0017071E" w:rsidRDefault="00FD716F" w:rsidP="00FD716F">
            <w:pPr>
              <w:pStyle w:val="nr-wiersza"/>
              <w:numPr>
                <w:ilvl w:val="0"/>
                <w:numId w:val="19"/>
              </w:numPr>
              <w:rPr>
                <w:sz w:val="22"/>
              </w:rPr>
            </w:pPr>
          </w:p>
        </w:tc>
        <w:tc>
          <w:tcPr>
            <w:tcW w:w="8647" w:type="dxa"/>
            <w:tcBorders>
              <w:top w:val="single" w:sz="6" w:space="0" w:color="000000"/>
              <w:bottom w:val="single" w:sz="6" w:space="0" w:color="000000"/>
            </w:tcBorders>
          </w:tcPr>
          <w:p w:rsidR="00FD716F" w:rsidRPr="0017071E" w:rsidRDefault="00FD716F" w:rsidP="0007137E">
            <w:pPr>
              <w:jc w:val="both"/>
            </w:pPr>
            <w:r w:rsidRPr="0017071E">
              <w:t>Wymagane jest dostarczenie licencji wieczystych zapewniających zabezpieczenie 1</w:t>
            </w:r>
            <w:r>
              <w:t>2</w:t>
            </w:r>
            <w:r w:rsidRPr="0017071E">
              <w:t xml:space="preserve">0 maszyn wirtualnych pracujących pod kontrola systemu </w:t>
            </w:r>
            <w:proofErr w:type="spellStart"/>
            <w:r w:rsidRPr="0017071E">
              <w:t>VMware</w:t>
            </w:r>
            <w:proofErr w:type="spellEnd"/>
            <w:r w:rsidRPr="0017071E">
              <w:t xml:space="preserve"> </w:t>
            </w:r>
            <w:proofErr w:type="spellStart"/>
            <w:r w:rsidRPr="0017071E">
              <w:t>vSphere</w:t>
            </w:r>
            <w:proofErr w:type="spellEnd"/>
            <w:r w:rsidRPr="0017071E">
              <w:t xml:space="preserve">. Licencje muszą być objęte 3 letnim wsparciem producenta oprogramowania, charakteryzującym się następującymi parametrami: </w:t>
            </w:r>
          </w:p>
          <w:p w:rsidR="00FD716F" w:rsidRPr="0017071E" w:rsidRDefault="00FD716F" w:rsidP="00FD716F">
            <w:pPr>
              <w:pStyle w:val="Akapitzlist"/>
              <w:numPr>
                <w:ilvl w:val="0"/>
                <w:numId w:val="20"/>
              </w:numPr>
              <w:spacing w:after="0" w:line="240" w:lineRule="auto"/>
              <w:jc w:val="both"/>
            </w:pPr>
            <w:r w:rsidRPr="0017071E">
              <w:t>możliwość instalacji aktualizacji oprogramowania  oraz najnowszych  dostępnych wersji w czasie aktywnego wsparcia,</w:t>
            </w:r>
          </w:p>
          <w:p w:rsidR="00FD716F" w:rsidRPr="0017071E" w:rsidRDefault="00FD716F" w:rsidP="00FD716F">
            <w:pPr>
              <w:pStyle w:val="Akapitzlist"/>
              <w:numPr>
                <w:ilvl w:val="0"/>
                <w:numId w:val="20"/>
              </w:numPr>
              <w:spacing w:after="0" w:line="240" w:lineRule="auto"/>
              <w:jc w:val="both"/>
            </w:pPr>
            <w:r w:rsidRPr="0017071E">
              <w:t>obsługa zgłoszeń w trybie 24x7</w:t>
            </w:r>
          </w:p>
          <w:p w:rsidR="00FD716F" w:rsidRPr="0017071E" w:rsidRDefault="00FD716F" w:rsidP="00FD716F">
            <w:pPr>
              <w:pStyle w:val="Akapitzlist"/>
              <w:numPr>
                <w:ilvl w:val="0"/>
                <w:numId w:val="20"/>
              </w:numPr>
              <w:spacing w:after="0" w:line="240" w:lineRule="auto"/>
              <w:jc w:val="both"/>
            </w:pPr>
            <w:r w:rsidRPr="0017071E">
              <w:t>zarządzenie licencjami oprogramowania</w:t>
            </w:r>
          </w:p>
        </w:tc>
      </w:tr>
    </w:tbl>
    <w:p w:rsidR="00FD716F" w:rsidRPr="0017071E" w:rsidRDefault="00FD716F" w:rsidP="00FD716F">
      <w:pPr>
        <w:rPr>
          <w:color w:val="FF0000"/>
        </w:rPr>
      </w:pPr>
    </w:p>
    <w:p w:rsidR="00FD716F" w:rsidRPr="0017071E" w:rsidRDefault="00FD716F" w:rsidP="00FD716F">
      <w:pPr>
        <w:pStyle w:val="Nagwek2"/>
        <w:ind w:left="284" w:hanging="284"/>
        <w:rPr>
          <w:rFonts w:cs="Times New Roman"/>
          <w:color w:val="000000" w:themeColor="text1"/>
          <w:sz w:val="24"/>
        </w:rPr>
      </w:pPr>
      <w:r w:rsidRPr="0017071E">
        <w:rPr>
          <w:rFonts w:cs="Times New Roman"/>
          <w:color w:val="000000" w:themeColor="text1"/>
          <w:sz w:val="24"/>
        </w:rPr>
        <w:lastRenderedPageBreak/>
        <w:t>Zakres usług wdrożenia i szkolenia</w:t>
      </w:r>
    </w:p>
    <w:p w:rsidR="00FD716F" w:rsidRPr="0017071E" w:rsidRDefault="00FD716F" w:rsidP="00FD716F">
      <w:pPr>
        <w:rPr>
          <w:color w:val="000000" w:themeColor="text1"/>
        </w:rPr>
      </w:pPr>
      <w:r w:rsidRPr="0017071E">
        <w:rPr>
          <w:color w:val="000000" w:themeColor="text1"/>
        </w:rPr>
        <w:t>W ramach postępowania wymagane jest przeprowadzenie następujących usług:</w:t>
      </w:r>
    </w:p>
    <w:p w:rsidR="00FD716F" w:rsidRPr="0017071E" w:rsidRDefault="00FD716F" w:rsidP="00FD716F">
      <w:pPr>
        <w:pStyle w:val="Akapitzlist"/>
        <w:numPr>
          <w:ilvl w:val="0"/>
          <w:numId w:val="14"/>
        </w:numPr>
        <w:rPr>
          <w:color w:val="000000" w:themeColor="text1"/>
        </w:rPr>
      </w:pPr>
      <w:r w:rsidRPr="0017071E">
        <w:rPr>
          <w:color w:val="000000" w:themeColor="text1"/>
        </w:rPr>
        <w:t>Instalacja, montaż i uruchomienie urządzenia backupowego</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 xml:space="preserve">Montaż w istniejącej szafie </w:t>
      </w:r>
      <w:proofErr w:type="spellStart"/>
      <w:r w:rsidRPr="0017071E">
        <w:rPr>
          <w:color w:val="000000" w:themeColor="text1"/>
        </w:rPr>
        <w:t>rackowej</w:t>
      </w:r>
      <w:proofErr w:type="spellEnd"/>
      <w:r w:rsidRPr="0017071E">
        <w:rPr>
          <w:color w:val="000000" w:themeColor="text1"/>
        </w:rPr>
        <w:t>.</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Podłączenie do sieci LAN.</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Aktualizacja oprogramowania wbudowanego urządzenia.</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Parametryzacja zgodna z wytycznymi Zamawiającego.</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Inicjalne uruchomienie urządzeń.</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Testy działania oraz weryfikacja parametrów.</w:t>
      </w:r>
    </w:p>
    <w:p w:rsidR="00FD716F" w:rsidRPr="0017071E" w:rsidRDefault="00FD716F" w:rsidP="00FD716F">
      <w:pPr>
        <w:pStyle w:val="Akapitzlist"/>
        <w:autoSpaceDE w:val="0"/>
        <w:autoSpaceDN w:val="0"/>
        <w:adjustRightInd w:val="0"/>
        <w:spacing w:after="0" w:line="240" w:lineRule="auto"/>
        <w:ind w:left="1440"/>
        <w:rPr>
          <w:color w:val="000000" w:themeColor="text1"/>
        </w:rPr>
      </w:pPr>
    </w:p>
    <w:p w:rsidR="00FD716F" w:rsidRPr="0017071E" w:rsidRDefault="00FD716F" w:rsidP="00FD716F">
      <w:pPr>
        <w:pStyle w:val="Akapitzlist"/>
        <w:numPr>
          <w:ilvl w:val="0"/>
          <w:numId w:val="14"/>
        </w:numPr>
        <w:rPr>
          <w:color w:val="000000" w:themeColor="text1"/>
        </w:rPr>
      </w:pPr>
      <w:r w:rsidRPr="0017071E">
        <w:rPr>
          <w:color w:val="000000" w:themeColor="text1"/>
        </w:rPr>
        <w:t>Instalacja oprogramowania backupowego na wskazanym przez zamawiającego systemie fizycznym lub wirtualnym.</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Parametryzacja oprogramowania.</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 xml:space="preserve">Integracja z posiadanym przez Zamawiającego systemem wirtualizacji </w:t>
      </w:r>
      <w:proofErr w:type="spellStart"/>
      <w:r w:rsidRPr="0017071E">
        <w:rPr>
          <w:color w:val="000000" w:themeColor="text1"/>
        </w:rPr>
        <w:t>VMware</w:t>
      </w:r>
      <w:proofErr w:type="spellEnd"/>
      <w:r w:rsidRPr="0017071E">
        <w:rPr>
          <w:color w:val="000000" w:themeColor="text1"/>
        </w:rPr>
        <w:t xml:space="preserve"> </w:t>
      </w:r>
      <w:proofErr w:type="spellStart"/>
      <w:r w:rsidRPr="0017071E">
        <w:rPr>
          <w:color w:val="000000" w:themeColor="text1"/>
        </w:rPr>
        <w:t>vSphere</w:t>
      </w:r>
      <w:proofErr w:type="spellEnd"/>
      <w:r w:rsidRPr="0017071E">
        <w:rPr>
          <w:color w:val="000000" w:themeColor="text1"/>
        </w:rPr>
        <w:t>.</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Konfiguracja polityk bezpieczeństwa.</w:t>
      </w:r>
    </w:p>
    <w:p w:rsidR="00FD716F" w:rsidRPr="0017071E" w:rsidRDefault="00FD716F" w:rsidP="00FD716F">
      <w:pPr>
        <w:pStyle w:val="Akapitzlist"/>
        <w:numPr>
          <w:ilvl w:val="1"/>
          <w:numId w:val="15"/>
        </w:numPr>
        <w:autoSpaceDE w:val="0"/>
        <w:autoSpaceDN w:val="0"/>
        <w:adjustRightInd w:val="0"/>
        <w:spacing w:after="0" w:line="240" w:lineRule="auto"/>
        <w:rPr>
          <w:color w:val="000000" w:themeColor="text1"/>
        </w:rPr>
      </w:pPr>
      <w:r w:rsidRPr="0017071E">
        <w:rPr>
          <w:color w:val="000000" w:themeColor="text1"/>
        </w:rPr>
        <w:t>Przeprowadzenie testów backupu i odtwarzania wybranych systemów.</w:t>
      </w:r>
    </w:p>
    <w:p w:rsidR="00FD716F" w:rsidRPr="0017071E" w:rsidRDefault="00FD716F" w:rsidP="00FD716F">
      <w:pPr>
        <w:autoSpaceDE w:val="0"/>
        <w:autoSpaceDN w:val="0"/>
        <w:adjustRightInd w:val="0"/>
        <w:rPr>
          <w:color w:val="000000" w:themeColor="text1"/>
        </w:rPr>
      </w:pPr>
    </w:p>
    <w:p w:rsidR="00FD716F" w:rsidRPr="0017071E" w:rsidRDefault="00FD716F" w:rsidP="00FD716F">
      <w:pPr>
        <w:pStyle w:val="Akapitzlist"/>
        <w:numPr>
          <w:ilvl w:val="0"/>
          <w:numId w:val="14"/>
        </w:numPr>
        <w:rPr>
          <w:color w:val="000000" w:themeColor="text1"/>
        </w:rPr>
      </w:pPr>
      <w:r w:rsidRPr="0017071E">
        <w:rPr>
          <w:color w:val="000000" w:themeColor="text1"/>
        </w:rPr>
        <w:t>Integracja systemu bazo-</w:t>
      </w:r>
      <w:proofErr w:type="spellStart"/>
      <w:r w:rsidRPr="0017071E">
        <w:rPr>
          <w:color w:val="000000" w:themeColor="text1"/>
        </w:rPr>
        <w:t>danowego</w:t>
      </w:r>
      <w:proofErr w:type="spellEnd"/>
      <w:r w:rsidRPr="0017071E">
        <w:rPr>
          <w:color w:val="000000" w:themeColor="text1"/>
        </w:rPr>
        <w:t xml:space="preserve"> </w:t>
      </w:r>
      <w:proofErr w:type="spellStart"/>
      <w:r w:rsidRPr="0017071E">
        <w:rPr>
          <w:color w:val="000000" w:themeColor="text1"/>
        </w:rPr>
        <w:t>Oracle</w:t>
      </w:r>
      <w:proofErr w:type="spellEnd"/>
      <w:r w:rsidRPr="0017071E">
        <w:rPr>
          <w:color w:val="000000" w:themeColor="text1"/>
        </w:rPr>
        <w:t xml:space="preserve"> z urządzeniem </w:t>
      </w:r>
      <w:proofErr w:type="spellStart"/>
      <w:r w:rsidRPr="0017071E">
        <w:rPr>
          <w:color w:val="000000" w:themeColor="text1"/>
        </w:rPr>
        <w:t>deduplikującym</w:t>
      </w:r>
      <w:proofErr w:type="spellEnd"/>
      <w:r w:rsidRPr="0017071E">
        <w:rPr>
          <w:color w:val="000000" w:themeColor="text1"/>
        </w:rPr>
        <w:t xml:space="preserve"> w celu wykonywania kopii/backupów narzędziem </w:t>
      </w:r>
      <w:proofErr w:type="spellStart"/>
      <w:r w:rsidRPr="0017071E">
        <w:rPr>
          <w:color w:val="000000" w:themeColor="text1"/>
        </w:rPr>
        <w:t>Oracle</w:t>
      </w:r>
      <w:proofErr w:type="spellEnd"/>
      <w:r w:rsidRPr="0017071E">
        <w:rPr>
          <w:color w:val="000000" w:themeColor="text1"/>
        </w:rPr>
        <w:t xml:space="preserve"> </w:t>
      </w:r>
      <w:proofErr w:type="spellStart"/>
      <w:r w:rsidRPr="0017071E">
        <w:rPr>
          <w:color w:val="000000" w:themeColor="text1"/>
        </w:rPr>
        <w:t>Recovery</w:t>
      </w:r>
      <w:proofErr w:type="spellEnd"/>
      <w:r w:rsidRPr="0017071E">
        <w:rPr>
          <w:color w:val="000000" w:themeColor="text1"/>
        </w:rPr>
        <w:t xml:space="preserve"> Manager. </w:t>
      </w:r>
    </w:p>
    <w:p w:rsidR="00FD716F" w:rsidRPr="0017071E" w:rsidRDefault="00FD716F" w:rsidP="00FD716F">
      <w:pPr>
        <w:pStyle w:val="Akapitzlist"/>
        <w:numPr>
          <w:ilvl w:val="1"/>
          <w:numId w:val="14"/>
        </w:numPr>
        <w:rPr>
          <w:color w:val="000000" w:themeColor="text1"/>
        </w:rPr>
      </w:pPr>
      <w:r w:rsidRPr="0017071E">
        <w:rPr>
          <w:color w:val="000000" w:themeColor="text1"/>
        </w:rPr>
        <w:t>Przygotowanie skryptów automatyzujących proces wykonywania kopii.</w:t>
      </w:r>
    </w:p>
    <w:p w:rsidR="00FD716F" w:rsidRPr="0017071E" w:rsidRDefault="00FD716F" w:rsidP="00FD716F">
      <w:pPr>
        <w:pStyle w:val="Akapitzlist"/>
        <w:numPr>
          <w:ilvl w:val="1"/>
          <w:numId w:val="14"/>
        </w:numPr>
        <w:rPr>
          <w:color w:val="000000" w:themeColor="text1"/>
        </w:rPr>
      </w:pPr>
      <w:r w:rsidRPr="0017071E">
        <w:rPr>
          <w:color w:val="000000" w:themeColor="text1"/>
        </w:rPr>
        <w:t>Konfiguracja harmonogramów wykonywania kopii.</w:t>
      </w:r>
    </w:p>
    <w:p w:rsidR="00FD716F" w:rsidRPr="0017071E" w:rsidRDefault="00FD716F" w:rsidP="00FD716F">
      <w:pPr>
        <w:pStyle w:val="Akapitzlist"/>
        <w:numPr>
          <w:ilvl w:val="1"/>
          <w:numId w:val="14"/>
        </w:numPr>
        <w:autoSpaceDE w:val="0"/>
        <w:autoSpaceDN w:val="0"/>
        <w:adjustRightInd w:val="0"/>
        <w:spacing w:after="0" w:line="240" w:lineRule="auto"/>
        <w:rPr>
          <w:color w:val="000000" w:themeColor="text1"/>
        </w:rPr>
      </w:pPr>
      <w:r w:rsidRPr="0017071E">
        <w:rPr>
          <w:color w:val="000000" w:themeColor="text1"/>
        </w:rPr>
        <w:t>Przeprowadzenie testów backupu i odtwarzania wybranych systemów.</w:t>
      </w:r>
    </w:p>
    <w:p w:rsidR="00FD716F" w:rsidRPr="0017071E" w:rsidRDefault="00FD716F" w:rsidP="00FD716F">
      <w:pPr>
        <w:rPr>
          <w:color w:val="000000" w:themeColor="text1"/>
        </w:rPr>
      </w:pPr>
    </w:p>
    <w:p w:rsidR="00FD716F" w:rsidRPr="0017071E" w:rsidRDefault="00FD716F" w:rsidP="00FD716F">
      <w:pPr>
        <w:pStyle w:val="Akapitzlist"/>
        <w:numPr>
          <w:ilvl w:val="0"/>
          <w:numId w:val="14"/>
        </w:numPr>
        <w:rPr>
          <w:color w:val="000000" w:themeColor="text1"/>
        </w:rPr>
      </w:pPr>
      <w:r w:rsidRPr="0017071E">
        <w:rPr>
          <w:color w:val="000000" w:themeColor="text1"/>
        </w:rPr>
        <w:t>Dokumentacja powykonawcza.</w:t>
      </w:r>
    </w:p>
    <w:p w:rsidR="00FD716F" w:rsidRPr="0017071E" w:rsidRDefault="00FD716F" w:rsidP="00FD716F">
      <w:pPr>
        <w:pStyle w:val="Akapitzlist"/>
        <w:numPr>
          <w:ilvl w:val="0"/>
          <w:numId w:val="14"/>
        </w:numPr>
        <w:rPr>
          <w:color w:val="000000" w:themeColor="text1"/>
        </w:rPr>
      </w:pPr>
      <w:r w:rsidRPr="0017071E">
        <w:rPr>
          <w:color w:val="000000" w:themeColor="text1"/>
        </w:rPr>
        <w:t>Instruktaż techniczny z zakresu przeprowadzonego wdrożenia.</w:t>
      </w:r>
    </w:p>
    <w:p w:rsidR="00FD716F" w:rsidRPr="0017071E" w:rsidRDefault="00FD716F" w:rsidP="00FD716F">
      <w:pPr>
        <w:pStyle w:val="Akapitzlist"/>
        <w:numPr>
          <w:ilvl w:val="0"/>
          <w:numId w:val="14"/>
        </w:numPr>
        <w:rPr>
          <w:color w:val="000000" w:themeColor="text1"/>
        </w:rPr>
      </w:pPr>
      <w:r w:rsidRPr="0017071E">
        <w:rPr>
          <w:color w:val="000000" w:themeColor="text1"/>
        </w:rPr>
        <w:t>Voucher na certyfikowane szkolenie z zakresu projektowania systemu backupowego, konfiguracji i zarządzania oraz integracji z infrastrukturą sprzętową – min. 2 szkolenia trwające nie mniej niż 2 dni.</w:t>
      </w:r>
    </w:p>
    <w:p w:rsidR="00FD716F" w:rsidRPr="00D52060" w:rsidRDefault="00FD716F" w:rsidP="00FD716F">
      <w:pPr>
        <w:spacing w:after="120" w:line="276" w:lineRule="auto"/>
        <w:jc w:val="center"/>
        <w:rPr>
          <w:b/>
        </w:rPr>
      </w:pPr>
      <w:r>
        <w:rPr>
          <w:color w:val="000000" w:themeColor="text1"/>
        </w:rPr>
        <w:br w:type="column"/>
      </w:r>
      <w:r w:rsidRPr="0017071E">
        <w:lastRenderedPageBreak/>
        <w:t xml:space="preserve">Pakiet </w:t>
      </w:r>
      <w:r>
        <w:t>2</w:t>
      </w:r>
      <w:r w:rsidRPr="0017071E">
        <w:t xml:space="preserve"> - Rozbudowa posiadanego systemu </w:t>
      </w:r>
      <w:proofErr w:type="spellStart"/>
      <w:r w:rsidRPr="0017071E">
        <w:t>ManageEngine</w:t>
      </w:r>
      <w:proofErr w:type="spellEnd"/>
      <w:r w:rsidRPr="0017071E">
        <w:t xml:space="preserve"> </w:t>
      </w:r>
      <w:proofErr w:type="spellStart"/>
      <w:r w:rsidRPr="0017071E">
        <w:t>ADSelfeService</w:t>
      </w:r>
      <w:proofErr w:type="spellEnd"/>
      <w:r w:rsidRPr="0017071E">
        <w:t xml:space="preserve"> Plus - lic. wieczysta na 2000 użytkowników wraz z 3 letnim dostępem do serwisu i aktualizacji.</w:t>
      </w:r>
    </w:p>
    <w:p w:rsidR="00F773FE" w:rsidRPr="00F77ACA" w:rsidRDefault="00F773FE" w:rsidP="00F773FE">
      <w:pPr>
        <w:jc w:val="both"/>
        <w:rPr>
          <w:b/>
        </w:rPr>
      </w:pPr>
    </w:p>
    <w:p w:rsidR="00F773FE" w:rsidRPr="00F77ACA" w:rsidRDefault="00F773FE" w:rsidP="00F773FE">
      <w:pPr>
        <w:jc w:val="center"/>
        <w:rPr>
          <w:b/>
        </w:rPr>
      </w:pPr>
      <w:r w:rsidRPr="00F77ACA">
        <w:rPr>
          <w:b/>
        </w:rPr>
        <w:t>Wykonawca:</w:t>
      </w:r>
      <w:r w:rsidRPr="00F77ACA">
        <w:rPr>
          <w:b/>
        </w:rPr>
        <w:tab/>
      </w:r>
      <w:r w:rsidRPr="00F77ACA">
        <w:rPr>
          <w:b/>
        </w:rPr>
        <w:tab/>
      </w:r>
      <w:r w:rsidRPr="00F77ACA">
        <w:rPr>
          <w:b/>
        </w:rPr>
        <w:tab/>
      </w:r>
      <w:r w:rsidRPr="00F77ACA">
        <w:rPr>
          <w:b/>
        </w:rPr>
        <w:tab/>
      </w:r>
      <w:r w:rsidRPr="00F77ACA">
        <w:rPr>
          <w:b/>
        </w:rPr>
        <w:tab/>
        <w:t xml:space="preserve">      Zamawiający:</w:t>
      </w:r>
    </w:p>
    <w:p w:rsidR="00F773FE" w:rsidRDefault="00F773FE" w:rsidP="00F773FE">
      <w:pPr>
        <w:jc w:val="both"/>
        <w:rPr>
          <w:b/>
        </w:rPr>
      </w:pPr>
    </w:p>
    <w:p w:rsidR="0058292A" w:rsidRDefault="0058292A" w:rsidP="00F773FE">
      <w:pPr>
        <w:jc w:val="both"/>
        <w:rPr>
          <w:b/>
        </w:rPr>
      </w:pPr>
    </w:p>
    <w:p w:rsidR="0058292A" w:rsidRDefault="0058292A" w:rsidP="00F773FE">
      <w:pPr>
        <w:jc w:val="both"/>
        <w:rPr>
          <w:b/>
        </w:rPr>
      </w:pPr>
    </w:p>
    <w:sectPr w:rsidR="005829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62" w:rsidRDefault="00E77C62" w:rsidP="00FD716F">
      <w:r>
        <w:separator/>
      </w:r>
    </w:p>
  </w:endnote>
  <w:endnote w:type="continuationSeparator" w:id="0">
    <w:p w:rsidR="00E77C62" w:rsidRDefault="00E77C62" w:rsidP="00F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62" w:rsidRDefault="00E77C62" w:rsidP="00FD716F">
      <w:r>
        <w:separator/>
      </w:r>
    </w:p>
  </w:footnote>
  <w:footnote w:type="continuationSeparator" w:id="0">
    <w:p w:rsidR="00E77C62" w:rsidRDefault="00E77C62" w:rsidP="00F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0B5"/>
    <w:multiLevelType w:val="hybridMultilevel"/>
    <w:tmpl w:val="90FEC6EE"/>
    <w:lvl w:ilvl="0" w:tplc="FC60B9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B42370"/>
    <w:multiLevelType w:val="hybridMultilevel"/>
    <w:tmpl w:val="82F43412"/>
    <w:lvl w:ilvl="0" w:tplc="879265D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849F4"/>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66D74"/>
    <w:multiLevelType w:val="hybridMultilevel"/>
    <w:tmpl w:val="E22411A2"/>
    <w:lvl w:ilvl="0" w:tplc="CE7C0014">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DB032A7"/>
    <w:multiLevelType w:val="hybridMultilevel"/>
    <w:tmpl w:val="F7788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D8131A"/>
    <w:multiLevelType w:val="hybridMultilevel"/>
    <w:tmpl w:val="5FFEE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25832"/>
    <w:multiLevelType w:val="hybridMultilevel"/>
    <w:tmpl w:val="A28C5628"/>
    <w:lvl w:ilvl="0" w:tplc="9836DB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4257F"/>
    <w:multiLevelType w:val="hybridMultilevel"/>
    <w:tmpl w:val="424CB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B77C41"/>
    <w:multiLevelType w:val="hybridMultilevel"/>
    <w:tmpl w:val="41164B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82D7B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4C457A0"/>
    <w:multiLevelType w:val="hybridMultilevel"/>
    <w:tmpl w:val="BB02DFAE"/>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7011FC"/>
    <w:multiLevelType w:val="hybridMultilevel"/>
    <w:tmpl w:val="3CDAFAB2"/>
    <w:lvl w:ilvl="0" w:tplc="CF5EEA6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574C4C7D"/>
    <w:multiLevelType w:val="hybridMultilevel"/>
    <w:tmpl w:val="20187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B93F14"/>
    <w:multiLevelType w:val="hybridMultilevel"/>
    <w:tmpl w:val="3160B6CA"/>
    <w:lvl w:ilvl="0" w:tplc="BC34C1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AC1EA1"/>
    <w:multiLevelType w:val="hybridMultilevel"/>
    <w:tmpl w:val="992465E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64335255"/>
    <w:multiLevelType w:val="hybridMultilevel"/>
    <w:tmpl w:val="930A53BA"/>
    <w:lvl w:ilvl="0" w:tplc="BC7EA5DC">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7C1C53"/>
    <w:multiLevelType w:val="hybridMultilevel"/>
    <w:tmpl w:val="C33EA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0823C5"/>
    <w:multiLevelType w:val="hybridMultilevel"/>
    <w:tmpl w:val="527E1778"/>
    <w:lvl w:ilvl="0" w:tplc="BC7EA5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B161D1"/>
    <w:multiLevelType w:val="hybridMultilevel"/>
    <w:tmpl w:val="644C2C1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70DC0928"/>
    <w:multiLevelType w:val="hybridMultilevel"/>
    <w:tmpl w:val="ED8A6CB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28C3F12"/>
    <w:multiLevelType w:val="hybridMultilevel"/>
    <w:tmpl w:val="B9C41BDA"/>
    <w:lvl w:ilvl="0" w:tplc="15BC3B3E">
      <w:start w:val="1"/>
      <w:numFmt w:val="decimal"/>
      <w:pStyle w:val="nr-wiersza"/>
      <w:lvlText w:val="%1."/>
      <w:lvlJc w:val="left"/>
      <w:pPr>
        <w:ind w:left="5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0"/>
  </w:num>
  <w:num w:numId="3">
    <w:abstractNumId w:val="21"/>
  </w:num>
  <w:num w:numId="4">
    <w:abstractNumId w:val="2"/>
  </w:num>
  <w:num w:numId="5">
    <w:abstractNumId w:val="11"/>
  </w:num>
  <w:num w:numId="6">
    <w:abstractNumId w:val="19"/>
  </w:num>
  <w:num w:numId="7">
    <w:abstractNumId w:val="18"/>
  </w:num>
  <w:num w:numId="8">
    <w:abstractNumId w:val="14"/>
  </w:num>
  <w:num w:numId="9">
    <w:abstractNumId w:val="8"/>
  </w:num>
  <w:num w:numId="10">
    <w:abstractNumId w:val="4"/>
  </w:num>
  <w:num w:numId="11">
    <w:abstractNumId w:val="5"/>
  </w:num>
  <w:num w:numId="12">
    <w:abstractNumId w:val="10"/>
  </w:num>
  <w:num w:numId="13">
    <w:abstractNumId w:val="9"/>
  </w:num>
  <w:num w:numId="14">
    <w:abstractNumId w:val="17"/>
  </w:num>
  <w:num w:numId="15">
    <w:abstractNumId w:val="15"/>
  </w:num>
  <w:num w:numId="16">
    <w:abstractNumId w:val="16"/>
  </w:num>
  <w:num w:numId="17">
    <w:abstractNumId w:val="12"/>
  </w:num>
  <w:num w:numId="18">
    <w:abstractNumId w:val="22"/>
    <w:lvlOverride w:ilvl="0">
      <w:startOverride w:val="1"/>
    </w:lvlOverride>
  </w:num>
  <w:num w:numId="19">
    <w:abstractNumId w:val="22"/>
    <w:lvlOverride w:ilvl="0">
      <w:startOverride w:val="1"/>
    </w:lvlOverride>
  </w:num>
  <w:num w:numId="20">
    <w:abstractNumId w:val="7"/>
  </w:num>
  <w:num w:numId="21">
    <w:abstractNumId w:val="0"/>
  </w:num>
  <w:num w:numId="22">
    <w:abstractNumId w:val="1"/>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FE"/>
    <w:rsid w:val="00142A58"/>
    <w:rsid w:val="00170B7E"/>
    <w:rsid w:val="00171445"/>
    <w:rsid w:val="002560A3"/>
    <w:rsid w:val="00562B09"/>
    <w:rsid w:val="0058292A"/>
    <w:rsid w:val="006B616F"/>
    <w:rsid w:val="0073682A"/>
    <w:rsid w:val="009073ED"/>
    <w:rsid w:val="00937197"/>
    <w:rsid w:val="009B7DE0"/>
    <w:rsid w:val="00D20E5D"/>
    <w:rsid w:val="00E77C62"/>
    <w:rsid w:val="00F152C9"/>
    <w:rsid w:val="00F773FE"/>
    <w:rsid w:val="00FD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F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FD716F"/>
    <w:pPr>
      <w:keepNext/>
      <w:keepLines/>
      <w:spacing w:before="200" w:after="200" w:line="276" w:lineRule="auto"/>
      <w:outlineLvl w:val="1"/>
    </w:pPr>
    <w:rPr>
      <w:rFonts w:eastAsiaTheme="majorEastAsia" w:cstheme="majorBidi"/>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773FE"/>
    <w:pPr>
      <w:tabs>
        <w:tab w:val="center" w:pos="4536"/>
        <w:tab w:val="right" w:pos="9072"/>
      </w:tabs>
    </w:pPr>
    <w:rPr>
      <w:sz w:val="20"/>
      <w:szCs w:val="20"/>
    </w:rPr>
  </w:style>
  <w:style w:type="character" w:customStyle="1" w:styleId="NagwekZnak">
    <w:name w:val="Nagłówek Znak"/>
    <w:basedOn w:val="Domylnaczcionkaakapitu"/>
    <w:uiPriority w:val="99"/>
    <w:semiHidden/>
    <w:rsid w:val="00F773FE"/>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34"/>
    <w:qFormat/>
    <w:rsid w:val="00F773FE"/>
    <w:pPr>
      <w:spacing w:after="200" w:line="276" w:lineRule="auto"/>
      <w:ind w:left="720"/>
      <w:contextualSpacing/>
    </w:pPr>
    <w:rPr>
      <w:rFonts w:ascii="Calibri" w:eastAsia="Calibri" w:hAnsi="Calibri"/>
      <w:sz w:val="22"/>
      <w:szCs w:val="22"/>
      <w:lang w:eastAsia="en-US"/>
    </w:rPr>
  </w:style>
  <w:style w:type="character" w:customStyle="1" w:styleId="NagwekZnak1">
    <w:name w:val="Nagłówek Znak1"/>
    <w:link w:val="Nagwek"/>
    <w:uiPriority w:val="99"/>
    <w:locked/>
    <w:rsid w:val="00F773FE"/>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
    <w:link w:val="Akapitzlist"/>
    <w:uiPriority w:val="34"/>
    <w:qFormat/>
    <w:rsid w:val="00F773FE"/>
    <w:rPr>
      <w:rFonts w:ascii="Calibri" w:eastAsia="Calibri" w:hAnsi="Calibri" w:cs="Times New Roman"/>
    </w:rPr>
  </w:style>
  <w:style w:type="paragraph" w:styleId="Tekstdymka">
    <w:name w:val="Balloon Text"/>
    <w:basedOn w:val="Normalny"/>
    <w:link w:val="TekstdymkaZnak"/>
    <w:uiPriority w:val="99"/>
    <w:semiHidden/>
    <w:unhideWhenUsed/>
    <w:rsid w:val="00F773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3FE"/>
    <w:rPr>
      <w:rFonts w:ascii="Segoe UI" w:eastAsia="Times New Roman" w:hAnsi="Segoe UI" w:cs="Segoe UI"/>
      <w:sz w:val="18"/>
      <w:szCs w:val="18"/>
      <w:lang w:eastAsia="pl-PL"/>
    </w:rPr>
  </w:style>
  <w:style w:type="paragraph" w:styleId="Bezodstpw">
    <w:name w:val="No Spacing"/>
    <w:link w:val="BezodstpwZnak"/>
    <w:uiPriority w:val="99"/>
    <w:qFormat/>
    <w:rsid w:val="0073682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7368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716F"/>
    <w:pPr>
      <w:tabs>
        <w:tab w:val="center" w:pos="4536"/>
        <w:tab w:val="right" w:pos="9072"/>
      </w:tabs>
    </w:pPr>
  </w:style>
  <w:style w:type="character" w:customStyle="1" w:styleId="StopkaZnak">
    <w:name w:val="Stopka Znak"/>
    <w:basedOn w:val="Domylnaczcionkaakapitu"/>
    <w:link w:val="Stopka"/>
    <w:uiPriority w:val="99"/>
    <w:rsid w:val="00FD716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D716F"/>
    <w:rPr>
      <w:rFonts w:ascii="Times New Roman" w:eastAsiaTheme="majorEastAsia" w:hAnsi="Times New Roman" w:cstheme="majorBidi"/>
      <w:b/>
      <w:bCs/>
      <w:sz w:val="26"/>
      <w:szCs w:val="26"/>
    </w:rPr>
  </w:style>
  <w:style w:type="paragraph" w:customStyle="1" w:styleId="nr-wiersza">
    <w:name w:val="nr-wiersza"/>
    <w:basedOn w:val="Akapitzlist"/>
    <w:link w:val="nr-wierszaZnak"/>
    <w:qFormat/>
    <w:rsid w:val="00FD716F"/>
    <w:pPr>
      <w:numPr>
        <w:numId w:val="18"/>
      </w:numPr>
      <w:spacing w:after="0" w:line="259" w:lineRule="auto"/>
      <w:ind w:right="113"/>
      <w:jc w:val="right"/>
    </w:pPr>
    <w:rPr>
      <w:rFonts w:ascii="Times New Roman" w:hAnsi="Times New Roman"/>
      <w:sz w:val="20"/>
      <w:lang w:val="x-none" w:eastAsia="ar-SA"/>
    </w:rPr>
  </w:style>
  <w:style w:type="character" w:customStyle="1" w:styleId="nr-wierszaZnak">
    <w:name w:val="nr-wiersza Znak"/>
    <w:basedOn w:val="AkapitzlistZnak"/>
    <w:link w:val="nr-wiersza"/>
    <w:rsid w:val="00FD716F"/>
    <w:rPr>
      <w:rFonts w:ascii="Times New Roman" w:eastAsia="Calibri" w:hAnsi="Times New Roman" w:cs="Times New Roman"/>
      <w:sz w:val="20"/>
      <w:lang w:val="x-none" w:eastAsia="ar-SA"/>
    </w:rPr>
  </w:style>
  <w:style w:type="character" w:styleId="Hipercze">
    <w:name w:val="Hyperlink"/>
    <w:uiPriority w:val="99"/>
    <w:rsid w:val="00FD716F"/>
    <w:rPr>
      <w:color w:val="0000FF"/>
      <w:u w:val="single"/>
    </w:rPr>
  </w:style>
  <w:style w:type="paragraph" w:customStyle="1" w:styleId="Bezodstpw1">
    <w:name w:val="Bez odstępów1"/>
    <w:link w:val="NoSpacingChar1"/>
    <w:qFormat/>
    <w:rsid w:val="00FD716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FD716F"/>
    <w:rPr>
      <w:rFonts w:ascii="Times New Roman" w:eastAsia="Times New Roman" w:hAnsi="Times New Roman" w:cs="Times New Roman"/>
      <w:sz w:val="24"/>
      <w:lang w:eastAsia="pl-PL"/>
    </w:rPr>
  </w:style>
  <w:style w:type="paragraph" w:customStyle="1" w:styleId="pkt">
    <w:name w:val="pkt"/>
    <w:basedOn w:val="Normalny"/>
    <w:link w:val="pktZnak"/>
    <w:rsid w:val="00FD716F"/>
    <w:pPr>
      <w:spacing w:before="60" w:after="60"/>
      <w:ind w:left="851" w:hanging="295"/>
      <w:jc w:val="both"/>
    </w:pPr>
    <w:rPr>
      <w:szCs w:val="20"/>
    </w:rPr>
  </w:style>
  <w:style w:type="character" w:customStyle="1" w:styleId="pktZnak">
    <w:name w:val="pkt Znak"/>
    <w:link w:val="pkt"/>
    <w:rsid w:val="00FD716F"/>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F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FD716F"/>
    <w:pPr>
      <w:keepNext/>
      <w:keepLines/>
      <w:spacing w:before="200" w:after="200" w:line="276" w:lineRule="auto"/>
      <w:outlineLvl w:val="1"/>
    </w:pPr>
    <w:rPr>
      <w:rFonts w:eastAsiaTheme="majorEastAsia" w:cstheme="majorBidi"/>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773FE"/>
    <w:pPr>
      <w:tabs>
        <w:tab w:val="center" w:pos="4536"/>
        <w:tab w:val="right" w:pos="9072"/>
      </w:tabs>
    </w:pPr>
    <w:rPr>
      <w:sz w:val="20"/>
      <w:szCs w:val="20"/>
    </w:rPr>
  </w:style>
  <w:style w:type="character" w:customStyle="1" w:styleId="NagwekZnak">
    <w:name w:val="Nagłówek Znak"/>
    <w:basedOn w:val="Domylnaczcionkaakapitu"/>
    <w:uiPriority w:val="99"/>
    <w:semiHidden/>
    <w:rsid w:val="00F773FE"/>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34"/>
    <w:qFormat/>
    <w:rsid w:val="00F773FE"/>
    <w:pPr>
      <w:spacing w:after="200" w:line="276" w:lineRule="auto"/>
      <w:ind w:left="720"/>
      <w:contextualSpacing/>
    </w:pPr>
    <w:rPr>
      <w:rFonts w:ascii="Calibri" w:eastAsia="Calibri" w:hAnsi="Calibri"/>
      <w:sz w:val="22"/>
      <w:szCs w:val="22"/>
      <w:lang w:eastAsia="en-US"/>
    </w:rPr>
  </w:style>
  <w:style w:type="character" w:customStyle="1" w:styleId="NagwekZnak1">
    <w:name w:val="Nagłówek Znak1"/>
    <w:link w:val="Nagwek"/>
    <w:uiPriority w:val="99"/>
    <w:locked/>
    <w:rsid w:val="00F773FE"/>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
    <w:link w:val="Akapitzlist"/>
    <w:uiPriority w:val="34"/>
    <w:qFormat/>
    <w:rsid w:val="00F773FE"/>
    <w:rPr>
      <w:rFonts w:ascii="Calibri" w:eastAsia="Calibri" w:hAnsi="Calibri" w:cs="Times New Roman"/>
    </w:rPr>
  </w:style>
  <w:style w:type="paragraph" w:styleId="Tekstdymka">
    <w:name w:val="Balloon Text"/>
    <w:basedOn w:val="Normalny"/>
    <w:link w:val="TekstdymkaZnak"/>
    <w:uiPriority w:val="99"/>
    <w:semiHidden/>
    <w:unhideWhenUsed/>
    <w:rsid w:val="00F773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3FE"/>
    <w:rPr>
      <w:rFonts w:ascii="Segoe UI" w:eastAsia="Times New Roman" w:hAnsi="Segoe UI" w:cs="Segoe UI"/>
      <w:sz w:val="18"/>
      <w:szCs w:val="18"/>
      <w:lang w:eastAsia="pl-PL"/>
    </w:rPr>
  </w:style>
  <w:style w:type="paragraph" w:styleId="Bezodstpw">
    <w:name w:val="No Spacing"/>
    <w:link w:val="BezodstpwZnak"/>
    <w:uiPriority w:val="99"/>
    <w:qFormat/>
    <w:rsid w:val="0073682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7368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716F"/>
    <w:pPr>
      <w:tabs>
        <w:tab w:val="center" w:pos="4536"/>
        <w:tab w:val="right" w:pos="9072"/>
      </w:tabs>
    </w:pPr>
  </w:style>
  <w:style w:type="character" w:customStyle="1" w:styleId="StopkaZnak">
    <w:name w:val="Stopka Znak"/>
    <w:basedOn w:val="Domylnaczcionkaakapitu"/>
    <w:link w:val="Stopka"/>
    <w:uiPriority w:val="99"/>
    <w:rsid w:val="00FD716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D716F"/>
    <w:rPr>
      <w:rFonts w:ascii="Times New Roman" w:eastAsiaTheme="majorEastAsia" w:hAnsi="Times New Roman" w:cstheme="majorBidi"/>
      <w:b/>
      <w:bCs/>
      <w:sz w:val="26"/>
      <w:szCs w:val="26"/>
    </w:rPr>
  </w:style>
  <w:style w:type="paragraph" w:customStyle="1" w:styleId="nr-wiersza">
    <w:name w:val="nr-wiersza"/>
    <w:basedOn w:val="Akapitzlist"/>
    <w:link w:val="nr-wierszaZnak"/>
    <w:qFormat/>
    <w:rsid w:val="00FD716F"/>
    <w:pPr>
      <w:numPr>
        <w:numId w:val="18"/>
      </w:numPr>
      <w:spacing w:after="0" w:line="259" w:lineRule="auto"/>
      <w:ind w:right="113"/>
      <w:jc w:val="right"/>
    </w:pPr>
    <w:rPr>
      <w:rFonts w:ascii="Times New Roman" w:hAnsi="Times New Roman"/>
      <w:sz w:val="20"/>
      <w:lang w:val="x-none" w:eastAsia="ar-SA"/>
    </w:rPr>
  </w:style>
  <w:style w:type="character" w:customStyle="1" w:styleId="nr-wierszaZnak">
    <w:name w:val="nr-wiersza Znak"/>
    <w:basedOn w:val="AkapitzlistZnak"/>
    <w:link w:val="nr-wiersza"/>
    <w:rsid w:val="00FD716F"/>
    <w:rPr>
      <w:rFonts w:ascii="Times New Roman" w:eastAsia="Calibri" w:hAnsi="Times New Roman" w:cs="Times New Roman"/>
      <w:sz w:val="20"/>
      <w:lang w:val="x-none" w:eastAsia="ar-SA"/>
    </w:rPr>
  </w:style>
  <w:style w:type="character" w:styleId="Hipercze">
    <w:name w:val="Hyperlink"/>
    <w:uiPriority w:val="99"/>
    <w:rsid w:val="00FD716F"/>
    <w:rPr>
      <w:color w:val="0000FF"/>
      <w:u w:val="single"/>
    </w:rPr>
  </w:style>
  <w:style w:type="paragraph" w:customStyle="1" w:styleId="Bezodstpw1">
    <w:name w:val="Bez odstępów1"/>
    <w:link w:val="NoSpacingChar1"/>
    <w:qFormat/>
    <w:rsid w:val="00FD716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FD716F"/>
    <w:rPr>
      <w:rFonts w:ascii="Times New Roman" w:eastAsia="Times New Roman" w:hAnsi="Times New Roman" w:cs="Times New Roman"/>
      <w:sz w:val="24"/>
      <w:lang w:eastAsia="pl-PL"/>
    </w:rPr>
  </w:style>
  <w:style w:type="paragraph" w:customStyle="1" w:styleId="pkt">
    <w:name w:val="pkt"/>
    <w:basedOn w:val="Normalny"/>
    <w:link w:val="pktZnak"/>
    <w:rsid w:val="00FD716F"/>
    <w:pPr>
      <w:spacing w:before="60" w:after="60"/>
      <w:ind w:left="851" w:hanging="295"/>
      <w:jc w:val="both"/>
    </w:pPr>
    <w:rPr>
      <w:szCs w:val="20"/>
    </w:rPr>
  </w:style>
  <w:style w:type="character" w:customStyle="1" w:styleId="pktZnak">
    <w:name w:val="pkt Znak"/>
    <w:link w:val="pkt"/>
    <w:rsid w:val="00FD716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5151</Words>
  <Characters>30907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Błaszczyk</dc:creator>
  <cp:lastModifiedBy>monika.k</cp:lastModifiedBy>
  <cp:revision>4</cp:revision>
  <cp:lastPrinted>2019-06-04T08:19:00Z</cp:lastPrinted>
  <dcterms:created xsi:type="dcterms:W3CDTF">2021-12-22T09:43:00Z</dcterms:created>
  <dcterms:modified xsi:type="dcterms:W3CDTF">2021-12-22T12:09:00Z</dcterms:modified>
</cp:coreProperties>
</file>