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CC61" w14:textId="77777777" w:rsidR="00896E68" w:rsidRDefault="00666036">
      <w:pPr>
        <w:jc w:val="center"/>
        <w:rPr>
          <w:rFonts w:ascii="Titillium" w:hAnsi="Titillium"/>
          <w:sz w:val="20"/>
          <w:szCs w:val="20"/>
        </w:rPr>
      </w:pPr>
      <w:r>
        <w:rPr>
          <w:noProof/>
        </w:rPr>
        <w:drawing>
          <wp:inline distT="0" distB="0" distL="0" distR="0" wp14:anchorId="0CA49B1B" wp14:editId="21DF1511">
            <wp:extent cx="3159125" cy="667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2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F7E68" w14:textId="77777777" w:rsidR="00896E68" w:rsidRDefault="00666036">
      <w:pPr>
        <w:jc w:val="right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Załącznik nr 1</w:t>
      </w:r>
    </w:p>
    <w:p w14:paraId="31F1151A" w14:textId="77777777" w:rsidR="00896E68" w:rsidRDefault="00666036">
      <w:pPr>
        <w:pStyle w:val="NormalnyWeb"/>
        <w:spacing w:before="280" w:after="0" w:line="252" w:lineRule="auto"/>
        <w:jc w:val="center"/>
        <w:rPr>
          <w:rFonts w:ascii="Titillium" w:hAnsi="Titillium" w:cs="Tahoma"/>
          <w:b/>
          <w:bCs/>
          <w:sz w:val="20"/>
          <w:szCs w:val="20"/>
        </w:rPr>
      </w:pPr>
      <w:r>
        <w:rPr>
          <w:rFonts w:ascii="Titillium" w:hAnsi="Titillium" w:cs="Tahoma"/>
          <w:b/>
          <w:bCs/>
          <w:sz w:val="20"/>
          <w:szCs w:val="20"/>
        </w:rPr>
        <w:t>OPIS PRZEDMIOTU ZAMÓWIENIA</w:t>
      </w:r>
    </w:p>
    <w:p w14:paraId="08C35E91" w14:textId="77777777" w:rsidR="00896E68" w:rsidRDefault="00666036">
      <w:pPr>
        <w:pStyle w:val="NormalnyWeb"/>
        <w:spacing w:before="280" w:after="0" w:line="252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>Kod CPV</w:t>
      </w:r>
      <w:r>
        <w:rPr>
          <w:rFonts w:ascii="Titillium" w:hAnsi="Titillium"/>
          <w:sz w:val="20"/>
          <w:szCs w:val="20"/>
        </w:rPr>
        <w:t>: 79131000-1</w:t>
      </w:r>
    </w:p>
    <w:p w14:paraId="4A0F852A" w14:textId="77777777" w:rsidR="00896E68" w:rsidRDefault="00666036">
      <w:pPr>
        <w:pStyle w:val="NormalnyWeb"/>
        <w:numPr>
          <w:ilvl w:val="0"/>
          <w:numId w:val="2"/>
        </w:numPr>
        <w:spacing w:before="280" w:after="0" w:line="240" w:lineRule="auto"/>
        <w:ind w:left="426" w:hanging="426"/>
        <w:rPr>
          <w:rFonts w:ascii="Titillium" w:hAnsi="Titillium" w:cs="Tahoma"/>
          <w:b/>
          <w:bCs/>
          <w:sz w:val="20"/>
          <w:szCs w:val="20"/>
        </w:rPr>
      </w:pPr>
      <w:r>
        <w:rPr>
          <w:rFonts w:ascii="Titillium" w:hAnsi="Titillium" w:cs="Tahoma"/>
          <w:b/>
          <w:bCs/>
          <w:sz w:val="20"/>
          <w:szCs w:val="20"/>
        </w:rPr>
        <w:t>Opis założeń:</w:t>
      </w:r>
    </w:p>
    <w:p w14:paraId="507487B4" w14:textId="77777777" w:rsidR="00896E68" w:rsidRDefault="00666036">
      <w:pPr>
        <w:pStyle w:val="NormalnyWeb"/>
        <w:spacing w:before="280" w:after="0" w:line="240" w:lineRule="auto"/>
        <w:rPr>
          <w:rFonts w:ascii="Titillium" w:hAnsi="Titillium" w:cs="Tahoma"/>
          <w:sz w:val="20"/>
          <w:szCs w:val="20"/>
        </w:rPr>
      </w:pPr>
      <w:r>
        <w:rPr>
          <w:rFonts w:ascii="Titillium" w:hAnsi="Titillium" w:cs="Tahoma"/>
          <w:sz w:val="20"/>
          <w:szCs w:val="20"/>
        </w:rPr>
        <w:t xml:space="preserve">Przedmiotem zmówienia jest przygotowanie przez Wykonawcę </w:t>
      </w:r>
      <w:r w:rsidRPr="001F6961">
        <w:rPr>
          <w:rFonts w:ascii="Titillium" w:hAnsi="Titillium" w:cs="Tahoma"/>
          <w:b/>
          <w:bCs/>
          <w:sz w:val="20"/>
          <w:szCs w:val="20"/>
          <w:u w:val="single"/>
        </w:rPr>
        <w:t>dokumentacji funkcjonalnej</w:t>
      </w:r>
      <w:r>
        <w:rPr>
          <w:rFonts w:ascii="Titillium" w:hAnsi="Titillium" w:cs="Tahoma"/>
          <w:sz w:val="20"/>
          <w:szCs w:val="20"/>
        </w:rPr>
        <w:t xml:space="preserve"> rydułtowskiego portalu usług wzajemnych, która obejmować będzie: </w:t>
      </w:r>
    </w:p>
    <w:p w14:paraId="2186F05D" w14:textId="77777777" w:rsidR="00896E68" w:rsidRDefault="00666036">
      <w:pPr>
        <w:pStyle w:val="western"/>
        <w:numPr>
          <w:ilvl w:val="0"/>
          <w:numId w:val="3"/>
        </w:numPr>
        <w:spacing w:before="280" w:after="0" w:line="240" w:lineRule="auto"/>
        <w:ind w:left="142" w:firstLine="142"/>
        <w:rPr>
          <w:rFonts w:ascii="Titillium" w:hAnsi="Titillium" w:cs="Tahoma"/>
          <w:sz w:val="20"/>
          <w:szCs w:val="20"/>
        </w:rPr>
      </w:pPr>
      <w:r>
        <w:rPr>
          <w:rFonts w:ascii="Titillium" w:hAnsi="Titillium" w:cs="Tahoma"/>
          <w:sz w:val="20"/>
          <w:szCs w:val="20"/>
        </w:rPr>
        <w:t>ofertę gruntów niebędących własnością gminy,</w:t>
      </w:r>
    </w:p>
    <w:p w14:paraId="50BFEFCF" w14:textId="77777777" w:rsidR="00896E68" w:rsidRDefault="00666036">
      <w:pPr>
        <w:pStyle w:val="western"/>
        <w:numPr>
          <w:ilvl w:val="0"/>
          <w:numId w:val="3"/>
        </w:numPr>
        <w:spacing w:after="0" w:line="240" w:lineRule="auto"/>
        <w:ind w:left="142" w:firstLine="142"/>
        <w:rPr>
          <w:rFonts w:ascii="Titillium" w:hAnsi="Titillium" w:cs="Tahoma"/>
          <w:sz w:val="20"/>
          <w:szCs w:val="20"/>
        </w:rPr>
      </w:pPr>
      <w:r>
        <w:rPr>
          <w:rFonts w:ascii="Titillium" w:hAnsi="Titillium" w:cs="Tahoma"/>
          <w:sz w:val="20"/>
          <w:szCs w:val="20"/>
        </w:rPr>
        <w:t xml:space="preserve">składanie ofert pomocy w różnych pracach domowych, </w:t>
      </w:r>
    </w:p>
    <w:p w14:paraId="6E5FB1BC" w14:textId="77777777" w:rsidR="00896E68" w:rsidRDefault="00666036">
      <w:pPr>
        <w:pStyle w:val="western"/>
        <w:numPr>
          <w:ilvl w:val="0"/>
          <w:numId w:val="3"/>
        </w:numPr>
        <w:spacing w:after="0" w:line="240" w:lineRule="auto"/>
        <w:ind w:left="142" w:firstLine="142"/>
        <w:rPr>
          <w:rFonts w:ascii="Titillium" w:hAnsi="Titillium" w:cs="Tahoma"/>
          <w:sz w:val="20"/>
          <w:szCs w:val="20"/>
        </w:rPr>
      </w:pPr>
      <w:r>
        <w:rPr>
          <w:rFonts w:ascii="Titillium" w:hAnsi="Titillium" w:cs="Tahoma"/>
          <w:sz w:val="20"/>
          <w:szCs w:val="20"/>
        </w:rPr>
        <w:t xml:space="preserve">ofertę mieszkań i domów do wynajęcia. </w:t>
      </w:r>
    </w:p>
    <w:p w14:paraId="68327BD2" w14:textId="77777777" w:rsidR="00896E68" w:rsidRDefault="00666036">
      <w:pPr>
        <w:pStyle w:val="western"/>
        <w:spacing w:before="280" w:after="0" w:line="240" w:lineRule="auto"/>
        <w:jc w:val="both"/>
        <w:rPr>
          <w:rFonts w:ascii="Titillium" w:hAnsi="Titillium" w:cs="Tahoma"/>
          <w:sz w:val="20"/>
          <w:szCs w:val="20"/>
        </w:rPr>
      </w:pPr>
      <w:r>
        <w:rPr>
          <w:rFonts w:ascii="Titillium" w:hAnsi="Titillium" w:cs="Tahoma"/>
          <w:sz w:val="20"/>
          <w:szCs w:val="20"/>
        </w:rPr>
        <w:t>Wykonawca zobowiązany będzie do opisania sposobu funkcjonowania portalu, zasad jego działania  oraz przygotowanie minimalnych wymogów technicznych portalu, w tym wskazanie dokumentów, które muszą zostać w portalu umieszczone na etapie jego tworzenia.</w:t>
      </w:r>
    </w:p>
    <w:p w14:paraId="73C5114F" w14:textId="77777777" w:rsidR="00896E68" w:rsidRDefault="00666036">
      <w:pPr>
        <w:pStyle w:val="western"/>
        <w:spacing w:before="280" w:after="0" w:line="240" w:lineRule="auto"/>
        <w:rPr>
          <w:rFonts w:ascii="Titillium" w:hAnsi="Titillium" w:cs="Tahoma"/>
          <w:sz w:val="20"/>
          <w:szCs w:val="20"/>
        </w:rPr>
      </w:pPr>
      <w:r>
        <w:rPr>
          <w:rFonts w:ascii="Titillium" w:hAnsi="Titillium" w:cs="Tahoma"/>
          <w:sz w:val="20"/>
          <w:szCs w:val="20"/>
        </w:rPr>
        <w:t>Koncepcja musi mieć formę dokumentacji funkcjonalnej i użytkowej, która posłuży miastu w przyszłości jako przygotowanie opisu przedmiotu zamówienia przy zlecaniu wykonania samego  portalu.</w:t>
      </w:r>
    </w:p>
    <w:p w14:paraId="6A3604B9" w14:textId="77777777" w:rsidR="00896E68" w:rsidRDefault="00896E68">
      <w:pPr>
        <w:pStyle w:val="Akapitzlist"/>
        <w:jc w:val="both"/>
        <w:rPr>
          <w:rFonts w:ascii="Titillium" w:hAnsi="Titillium"/>
          <w:sz w:val="20"/>
          <w:szCs w:val="20"/>
        </w:rPr>
      </w:pPr>
    </w:p>
    <w:p w14:paraId="35602551" w14:textId="77777777" w:rsidR="00896E68" w:rsidRDefault="00666036">
      <w:pPr>
        <w:pStyle w:val="Akapitzlist"/>
        <w:numPr>
          <w:ilvl w:val="0"/>
          <w:numId w:val="2"/>
        </w:numPr>
        <w:ind w:left="284" w:hanging="284"/>
        <w:jc w:val="both"/>
        <w:rPr>
          <w:rFonts w:ascii="Titillium" w:hAnsi="Titillium"/>
          <w:b/>
          <w:bCs/>
          <w:sz w:val="20"/>
          <w:szCs w:val="20"/>
        </w:rPr>
      </w:pPr>
      <w:r>
        <w:rPr>
          <w:rFonts w:ascii="Titillium" w:hAnsi="Titillium"/>
          <w:b/>
          <w:bCs/>
          <w:sz w:val="20"/>
          <w:szCs w:val="20"/>
        </w:rPr>
        <w:t xml:space="preserve">Dokumentacja funkcjonalna i użytkowa musi zawierać: </w:t>
      </w:r>
    </w:p>
    <w:p w14:paraId="448474C9" w14:textId="77777777" w:rsidR="00896E68" w:rsidRDefault="00666036">
      <w:pPr>
        <w:pStyle w:val="Akapitzlist"/>
        <w:numPr>
          <w:ilvl w:val="3"/>
          <w:numId w:val="1"/>
        </w:numPr>
        <w:ind w:left="709" w:hanging="283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Opis wszystkich możliwych funkcjonalności portalu w zakresie:</w:t>
      </w:r>
    </w:p>
    <w:p w14:paraId="28810D20" w14:textId="77777777" w:rsidR="00896E68" w:rsidRDefault="00666036">
      <w:pPr>
        <w:pStyle w:val="Akapitzlist"/>
        <w:numPr>
          <w:ilvl w:val="1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modułów: zaplanowanie i opisanie wszystkich modułów, które muszą zostać przygotowane przez Wykonawcę portalu w celu możliwie najlepszej obsługi użytkowników (zarówno po stronie front-</w:t>
      </w:r>
      <w:proofErr w:type="spellStart"/>
      <w:r>
        <w:rPr>
          <w:rFonts w:ascii="Titillium" w:hAnsi="Titillium"/>
          <w:sz w:val="20"/>
          <w:szCs w:val="20"/>
        </w:rPr>
        <w:t>office</w:t>
      </w:r>
      <w:proofErr w:type="spellEnd"/>
      <w:r>
        <w:rPr>
          <w:rFonts w:ascii="Titillium" w:hAnsi="Titillium"/>
          <w:sz w:val="20"/>
          <w:szCs w:val="20"/>
        </w:rPr>
        <w:t xml:space="preserve"> jak i </w:t>
      </w:r>
      <w:proofErr w:type="spellStart"/>
      <w:r>
        <w:rPr>
          <w:rFonts w:ascii="Titillium" w:hAnsi="Titillium"/>
          <w:sz w:val="20"/>
          <w:szCs w:val="20"/>
        </w:rPr>
        <w:t>back-office</w:t>
      </w:r>
      <w:proofErr w:type="spellEnd"/>
      <w:r>
        <w:rPr>
          <w:rFonts w:ascii="Titillium" w:hAnsi="Titillium"/>
          <w:sz w:val="20"/>
          <w:szCs w:val="20"/>
        </w:rPr>
        <w:t>);</w:t>
      </w:r>
    </w:p>
    <w:p w14:paraId="79E150C0" w14:textId="77777777" w:rsidR="00896E68" w:rsidRDefault="00666036">
      <w:pPr>
        <w:pStyle w:val="Akapitzlist"/>
        <w:numPr>
          <w:ilvl w:val="1"/>
          <w:numId w:val="4"/>
        </w:numPr>
        <w:jc w:val="both"/>
        <w:rPr>
          <w:rFonts w:ascii="Titillium" w:hAnsi="Titillium"/>
          <w:sz w:val="20"/>
          <w:szCs w:val="20"/>
        </w:rPr>
      </w:pPr>
      <w:proofErr w:type="spellStart"/>
      <w:r>
        <w:rPr>
          <w:rFonts w:ascii="Titillium" w:hAnsi="Titillium"/>
          <w:sz w:val="20"/>
          <w:szCs w:val="20"/>
        </w:rPr>
        <w:t>back-office</w:t>
      </w:r>
      <w:proofErr w:type="spellEnd"/>
      <w:r>
        <w:rPr>
          <w:rFonts w:ascii="Titillium" w:hAnsi="Titillium"/>
          <w:sz w:val="20"/>
          <w:szCs w:val="20"/>
        </w:rPr>
        <w:t xml:space="preserve"> administratora: opis funkcjonalności systemu CMS oraz uprawnień dla administratorów w zakresie obsługi portalu;</w:t>
      </w:r>
    </w:p>
    <w:p w14:paraId="53E3C491" w14:textId="77777777" w:rsidR="00896E68" w:rsidRDefault="00666036">
      <w:pPr>
        <w:pStyle w:val="Akapitzlist"/>
        <w:numPr>
          <w:ilvl w:val="1"/>
          <w:numId w:val="4"/>
        </w:numPr>
        <w:jc w:val="both"/>
        <w:rPr>
          <w:rFonts w:ascii="Titillium" w:hAnsi="Titillium"/>
          <w:sz w:val="20"/>
          <w:szCs w:val="20"/>
        </w:rPr>
      </w:pPr>
      <w:proofErr w:type="spellStart"/>
      <w:r>
        <w:rPr>
          <w:rFonts w:ascii="Titillium" w:hAnsi="Titillium"/>
          <w:sz w:val="20"/>
          <w:szCs w:val="20"/>
        </w:rPr>
        <w:t>back-office</w:t>
      </w:r>
      <w:proofErr w:type="spellEnd"/>
      <w:r>
        <w:rPr>
          <w:rFonts w:ascii="Titillium" w:hAnsi="Titillium"/>
          <w:sz w:val="20"/>
          <w:szCs w:val="20"/>
        </w:rPr>
        <w:t xml:space="preserve"> użytkowników: opis funkcjonalności systemu (odrębnego od systemu administracyjnego CMS) umożliwiającego publikowanie ofert przez zalogowanych i uwierzytelnionych użytkowników zewnętrznych niezwiązanych z Urzędem Miasta;</w:t>
      </w:r>
    </w:p>
    <w:p w14:paraId="63F8E164" w14:textId="77777777" w:rsidR="00896E68" w:rsidRDefault="00666036">
      <w:pPr>
        <w:pStyle w:val="Akapitzlist"/>
        <w:numPr>
          <w:ilvl w:val="1"/>
          <w:numId w:val="4"/>
        </w:numPr>
        <w:jc w:val="both"/>
        <w:rPr>
          <w:rFonts w:ascii="Titillium" w:hAnsi="Titillium"/>
          <w:sz w:val="20"/>
          <w:szCs w:val="20"/>
        </w:rPr>
      </w:pPr>
      <w:proofErr w:type="spellStart"/>
      <w:r>
        <w:rPr>
          <w:rFonts w:ascii="Titillium" w:hAnsi="Titillium"/>
          <w:sz w:val="20"/>
          <w:szCs w:val="20"/>
        </w:rPr>
        <w:t>font-office</w:t>
      </w:r>
      <w:proofErr w:type="spellEnd"/>
      <w:r>
        <w:rPr>
          <w:rFonts w:ascii="Titillium" w:hAnsi="Titillium"/>
          <w:sz w:val="20"/>
          <w:szCs w:val="20"/>
        </w:rPr>
        <w:t>: opis funkcjonalności strony dla niezalogowanych, niezarejestrowanych i nie uwierzytelnionych użytkowników odwiedzających portal (zasady działania oraz możliwości funkcjonalne strony);</w:t>
      </w:r>
    </w:p>
    <w:p w14:paraId="5DEB96B0" w14:textId="77777777" w:rsidR="00896E68" w:rsidRDefault="00666036">
      <w:pPr>
        <w:pStyle w:val="Akapitzlist"/>
        <w:numPr>
          <w:ilvl w:val="1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Opis metodologii rejestrowania użytkowników i uwierzytelniania użytkowników (Administratorów, Właścicieli).</w:t>
      </w:r>
    </w:p>
    <w:p w14:paraId="3200C437" w14:textId="77777777" w:rsidR="00896E68" w:rsidRDefault="00666036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Wskazanie minimalnych parametrów technicznych portalu;</w:t>
      </w:r>
    </w:p>
    <w:p w14:paraId="6274497F" w14:textId="77777777" w:rsidR="00896E68" w:rsidRDefault="00666036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Wskazanie rodzajów dokumentów, które muszą zostać opracowane na etapie tworzenia portalu przez Wykonawcę (np. umowy, porozumienia etc.).</w:t>
      </w:r>
    </w:p>
    <w:p w14:paraId="22346CF9" w14:textId="77777777" w:rsidR="00896E68" w:rsidRDefault="00666036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Wskazanie porad, które muszą zostać opracowane na etapie tworzenia portalu przez Wykonawcę (np. porad prawnych).</w:t>
      </w:r>
    </w:p>
    <w:p w14:paraId="50454C25" w14:textId="77777777" w:rsidR="00896E68" w:rsidRDefault="00666036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Wskazanie opisu dobrych praktyk w zakresie wskazanym w punkcie I a-c, które muszą zostać opracowane na etapie tworzenia portalu przez Wykonawcę</w:t>
      </w:r>
    </w:p>
    <w:p w14:paraId="0D87106B" w14:textId="77777777" w:rsidR="00896E68" w:rsidRDefault="00666036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lastRenderedPageBreak/>
        <w:t>Przedstawienie koncepcji odpowiedzialności za bieżące funkcjonowanie portalu (w zakresie merytorycznym oraz technicznym)</w:t>
      </w:r>
    </w:p>
    <w:p w14:paraId="118D9EB5" w14:textId="77777777" w:rsidR="00896E68" w:rsidRDefault="00666036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Ramy prawne które muszą być przestrzegane przy tworzeniu portalu oraz dokumentów prawnych (np.</w:t>
      </w:r>
      <w:r>
        <w:rPr>
          <w:rFonts w:ascii="Titillium" w:hAnsi="Titillium"/>
          <w:b/>
          <w:bCs/>
          <w:sz w:val="20"/>
          <w:szCs w:val="20"/>
        </w:rPr>
        <w:t xml:space="preserve"> </w:t>
      </w:r>
      <w:r>
        <w:rPr>
          <w:rFonts w:ascii="Titillium" w:hAnsi="Titillium"/>
          <w:sz w:val="20"/>
          <w:szCs w:val="20"/>
        </w:rPr>
        <w:t xml:space="preserve">Web Content Accessibility </w:t>
      </w:r>
      <w:proofErr w:type="spellStart"/>
      <w:r>
        <w:rPr>
          <w:rFonts w:ascii="Titillium" w:hAnsi="Titillium"/>
          <w:sz w:val="20"/>
          <w:szCs w:val="20"/>
        </w:rPr>
        <w:t>Guidelines</w:t>
      </w:r>
      <w:proofErr w:type="spellEnd"/>
      <w:r>
        <w:rPr>
          <w:rFonts w:ascii="Titillium" w:hAnsi="Titillium"/>
          <w:sz w:val="20"/>
          <w:szCs w:val="20"/>
        </w:rPr>
        <w:t xml:space="preserve"> 2.1 - wytyczne dotyczące dostępności treści internetowych - </w:t>
      </w:r>
      <w:bookmarkStart w:id="0" w:name="_Hlk91505113"/>
      <w:r>
        <w:rPr>
          <w:rFonts w:ascii="Titillium" w:hAnsi="Titillium"/>
          <w:sz w:val="20"/>
          <w:szCs w:val="20"/>
        </w:rPr>
        <w:t>WCAG 2.1 oraz Ustawa z dnia 4 kwietnia 2019 r. o dostępności cyfrowej stron internetowych i aplikacji mobilnych podmiotów publicznych (Dz.U. 2019 poz. 848)</w:t>
      </w:r>
      <w:bookmarkEnd w:id="0"/>
      <w:r>
        <w:rPr>
          <w:rFonts w:ascii="Titillium" w:hAnsi="Titillium"/>
          <w:sz w:val="20"/>
          <w:szCs w:val="20"/>
        </w:rPr>
        <w:t>).</w:t>
      </w:r>
    </w:p>
    <w:p w14:paraId="010E4453" w14:textId="77777777" w:rsidR="00896E68" w:rsidRDefault="00666036">
      <w:pPr>
        <w:pStyle w:val="Akapitzlist"/>
        <w:numPr>
          <w:ilvl w:val="0"/>
          <w:numId w:val="4"/>
        </w:numPr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Opis metodologii administrowania systemem w tym akceptowanie i odrzucanie zgłoszeń do portalu. </w:t>
      </w:r>
    </w:p>
    <w:p w14:paraId="1B5FCAF8" w14:textId="77777777" w:rsidR="00896E68" w:rsidRDefault="00896E68">
      <w:pPr>
        <w:pStyle w:val="Akapitzlist"/>
        <w:jc w:val="both"/>
        <w:rPr>
          <w:rFonts w:ascii="Titillium" w:hAnsi="Titillium"/>
          <w:sz w:val="20"/>
          <w:szCs w:val="20"/>
        </w:rPr>
      </w:pPr>
    </w:p>
    <w:p w14:paraId="44FA4304" w14:textId="77777777" w:rsidR="00896E68" w:rsidRDefault="00666036">
      <w:pPr>
        <w:pStyle w:val="Akapitzlist"/>
        <w:numPr>
          <w:ilvl w:val="0"/>
          <w:numId w:val="2"/>
        </w:numPr>
        <w:ind w:left="426" w:hanging="426"/>
        <w:jc w:val="both"/>
        <w:rPr>
          <w:rFonts w:ascii="Titillium" w:eastAsia="Times New Roman" w:hAnsi="Titillium" w:cs="Times New Roman"/>
          <w:b/>
          <w:bCs/>
          <w:spacing w:val="-2"/>
          <w:sz w:val="20"/>
          <w:szCs w:val="20"/>
          <w:lang w:eastAsia="pl-PL"/>
        </w:rPr>
      </w:pPr>
      <w:r>
        <w:rPr>
          <w:rFonts w:ascii="Titillium" w:hAnsi="Titillium"/>
          <w:b/>
          <w:bCs/>
          <w:sz w:val="20"/>
          <w:szCs w:val="20"/>
        </w:rPr>
        <w:t xml:space="preserve">Termin oraz sposób przygotowania  </w:t>
      </w:r>
    </w:p>
    <w:p w14:paraId="4FE9DB43" w14:textId="0278BA58" w:rsidR="00896E68" w:rsidRDefault="00666036">
      <w:pPr>
        <w:pStyle w:val="Akapitzlist"/>
        <w:numPr>
          <w:ilvl w:val="0"/>
          <w:numId w:val="5"/>
        </w:numPr>
        <w:suppressAutoHyphens w:val="0"/>
        <w:spacing w:beforeAutospacing="1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Wykonawca przygotuje wersję roboczą Zamówienia do dnia </w:t>
      </w:r>
      <w:r w:rsidR="00920456">
        <w:rPr>
          <w:rFonts w:ascii="Titillium" w:eastAsia="Times New Roman" w:hAnsi="Titillium" w:cs="Times New Roman"/>
          <w:sz w:val="20"/>
          <w:szCs w:val="20"/>
          <w:lang w:eastAsia="pl-PL"/>
        </w:rPr>
        <w:t>31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t>.0</w:t>
      </w:r>
      <w:r w:rsidR="00920456">
        <w:rPr>
          <w:rFonts w:ascii="Titillium" w:eastAsia="Times New Roman" w:hAnsi="Titillium" w:cs="Times New Roman"/>
          <w:sz w:val="20"/>
          <w:szCs w:val="20"/>
          <w:lang w:eastAsia="pl-PL"/>
        </w:rPr>
        <w:t>3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t>.2023</w:t>
      </w:r>
      <w:r w:rsidR="00920456"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r.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i przedstawi ją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br/>
        <w:t xml:space="preserve">w edytowalnej formie elektronicznej (format pliku </w:t>
      </w:r>
      <w:proofErr w:type="spellStart"/>
      <w:r>
        <w:rPr>
          <w:rFonts w:ascii="Titillium" w:eastAsia="Times New Roman" w:hAnsi="Titillium" w:cs="Times New Roman"/>
          <w:sz w:val="20"/>
          <w:szCs w:val="20"/>
          <w:lang w:eastAsia="pl-PL"/>
        </w:rPr>
        <w:t>odt</w:t>
      </w:r>
      <w:proofErr w:type="spellEnd"/>
      <w:r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lub </w:t>
      </w:r>
      <w:proofErr w:type="spellStart"/>
      <w:r>
        <w:rPr>
          <w:rFonts w:ascii="Titillium" w:eastAsia="Times New Roman" w:hAnsi="Titillium" w:cs="Times New Roman"/>
          <w:sz w:val="20"/>
          <w:szCs w:val="20"/>
          <w:lang w:eastAsia="pl-PL"/>
        </w:rPr>
        <w:t>doc</w:t>
      </w:r>
      <w:proofErr w:type="spellEnd"/>
      <w:r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 lub </w:t>
      </w:r>
      <w:proofErr w:type="spellStart"/>
      <w:r>
        <w:rPr>
          <w:rFonts w:ascii="Titillium" w:eastAsia="Times New Roman" w:hAnsi="Titillium" w:cs="Times New Roman"/>
          <w:sz w:val="20"/>
          <w:szCs w:val="20"/>
          <w:lang w:eastAsia="pl-PL"/>
        </w:rPr>
        <w:t>docx</w:t>
      </w:r>
      <w:proofErr w:type="spellEnd"/>
      <w:r>
        <w:rPr>
          <w:rFonts w:ascii="Titillium" w:eastAsia="Times New Roman" w:hAnsi="Titillium" w:cs="Times New Roman"/>
          <w:sz w:val="20"/>
          <w:szCs w:val="20"/>
          <w:lang w:eastAsia="pl-PL"/>
        </w:rPr>
        <w:t>) Zamawiającemu do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br/>
        <w:t xml:space="preserve">zaakceptowania. </w:t>
      </w:r>
    </w:p>
    <w:p w14:paraId="598D8396" w14:textId="77777777" w:rsidR="00896E68" w:rsidRDefault="00666036">
      <w:pPr>
        <w:pStyle w:val="Akapitzlist"/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tillium" w:eastAsia="Times New Roman" w:hAnsi="Titillium" w:cs="Times New Roman"/>
          <w:sz w:val="20"/>
          <w:szCs w:val="20"/>
          <w:lang w:eastAsia="pl-PL"/>
        </w:rPr>
        <w:t>Wykonawca przekażę wersję roboczą Zamówienia na adres kgrzenia@urzad.rydultowy.pl.</w:t>
      </w:r>
    </w:p>
    <w:p w14:paraId="24FE0110" w14:textId="77777777" w:rsidR="00896E68" w:rsidRDefault="0066603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tillium" w:eastAsia="Times New Roman" w:hAnsi="Titillium" w:cs="Times New Roman"/>
          <w:sz w:val="20"/>
          <w:szCs w:val="20"/>
          <w:lang w:eastAsia="pl-PL"/>
        </w:rPr>
        <w:t>Zamawiający w ciągu 10 dni roboczych zaakceptuje wersję roboczą Zamówienia, bądź przekaże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br/>
        <w:t>Wykonawcy poprzez pocztę e-mail na adres Wykonawcy wskazany w umowie uwagi do wersji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br/>
        <w:t>roboczej Zamówienia.</w:t>
      </w:r>
    </w:p>
    <w:p w14:paraId="3F7B880C" w14:textId="77777777" w:rsidR="00896E68" w:rsidRDefault="0066603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tillium" w:eastAsia="Times New Roman" w:hAnsi="Titillium" w:cs="Times New Roman"/>
          <w:sz w:val="20"/>
          <w:szCs w:val="20"/>
          <w:lang w:eastAsia="pl-PL"/>
        </w:rPr>
        <w:t>Po przekazaniu przez Zamawiającego uwag do roboczej wersji Zamówienia, Wykonawca poprawi je w ciągu 5 dni roboczych, po czym przekaże Zamawiającemu roboczą wersję Zamówienie do</w:t>
      </w:r>
      <w:r>
        <w:rPr>
          <w:rFonts w:ascii="Titillium" w:eastAsia="Times New Roman" w:hAnsi="Titillium" w:cs="Times New Roman"/>
          <w:sz w:val="20"/>
          <w:szCs w:val="20"/>
          <w:lang w:eastAsia="pl-PL"/>
        </w:rPr>
        <w:br/>
        <w:t xml:space="preserve">ponownej akceptacji. Do ponownej akceptacji stosuje się zapisy ust. 2-3. </w:t>
      </w:r>
    </w:p>
    <w:p w14:paraId="011F07E9" w14:textId="779A37AE" w:rsidR="00896E68" w:rsidRDefault="00666036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tillium" w:eastAsia="Times New Roman" w:hAnsi="Titillium" w:cs="Times New Roman"/>
          <w:sz w:val="20"/>
          <w:szCs w:val="20"/>
          <w:lang w:eastAsia="pl-PL"/>
        </w:rPr>
        <w:t xml:space="preserve">Ostateczna wersja Zamówienia </w:t>
      </w:r>
      <w:r>
        <w:rPr>
          <w:rFonts w:ascii="Titillium" w:hAnsi="Titillium"/>
          <w:sz w:val="20"/>
          <w:szCs w:val="20"/>
        </w:rPr>
        <w:t xml:space="preserve">musi zostać przekazana do Zamawiającego: do </w:t>
      </w:r>
      <w:r w:rsidR="00920456">
        <w:rPr>
          <w:rFonts w:ascii="Titillium" w:hAnsi="Titillium"/>
          <w:color w:val="000000"/>
          <w:sz w:val="20"/>
          <w:szCs w:val="20"/>
        </w:rPr>
        <w:t>28</w:t>
      </w:r>
      <w:r>
        <w:rPr>
          <w:rFonts w:ascii="Titillium" w:hAnsi="Titillium"/>
          <w:color w:val="000000"/>
          <w:sz w:val="20"/>
          <w:szCs w:val="20"/>
        </w:rPr>
        <w:t>.0</w:t>
      </w:r>
      <w:r w:rsidR="00920456">
        <w:rPr>
          <w:rFonts w:ascii="Titillium" w:hAnsi="Titillium"/>
          <w:color w:val="000000"/>
          <w:sz w:val="20"/>
          <w:szCs w:val="20"/>
        </w:rPr>
        <w:t>4</w:t>
      </w:r>
      <w:r>
        <w:rPr>
          <w:rFonts w:ascii="Titillium" w:hAnsi="Titillium"/>
          <w:color w:val="000000"/>
          <w:sz w:val="20"/>
          <w:szCs w:val="20"/>
        </w:rPr>
        <w:t xml:space="preserve">.2023 </w:t>
      </w:r>
      <w:r>
        <w:rPr>
          <w:rFonts w:ascii="Titillium" w:hAnsi="Titillium"/>
          <w:sz w:val="20"/>
          <w:szCs w:val="20"/>
        </w:rPr>
        <w:t>r.</w:t>
      </w:r>
    </w:p>
    <w:p w14:paraId="1E7F1711" w14:textId="77777777" w:rsidR="00896E68" w:rsidRDefault="00896E68">
      <w:pPr>
        <w:jc w:val="both"/>
        <w:rPr>
          <w:rFonts w:ascii="Titillium" w:hAnsi="Titillium"/>
          <w:sz w:val="20"/>
          <w:szCs w:val="20"/>
        </w:rPr>
      </w:pPr>
    </w:p>
    <w:sectPr w:rsidR="00896E68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96403"/>
    <w:multiLevelType w:val="multilevel"/>
    <w:tmpl w:val="30ACC7DA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8303A3"/>
    <w:multiLevelType w:val="multilevel"/>
    <w:tmpl w:val="6B785224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2" w15:restartNumberingAfterBreak="0">
    <w:nsid w:val="310678C7"/>
    <w:multiLevelType w:val="multilevel"/>
    <w:tmpl w:val="6E1CC4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38671AC"/>
    <w:multiLevelType w:val="multilevel"/>
    <w:tmpl w:val="417EFAF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3D56891"/>
    <w:multiLevelType w:val="multilevel"/>
    <w:tmpl w:val="B7A242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B9A7241"/>
    <w:multiLevelType w:val="multilevel"/>
    <w:tmpl w:val="DE18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tillium" w:hAnsi="Titillium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80640">
    <w:abstractNumId w:val="2"/>
  </w:num>
  <w:num w:numId="2" w16cid:durableId="755593403">
    <w:abstractNumId w:val="0"/>
  </w:num>
  <w:num w:numId="3" w16cid:durableId="2018270327">
    <w:abstractNumId w:val="1"/>
  </w:num>
  <w:num w:numId="4" w16cid:durableId="146017339">
    <w:abstractNumId w:val="4"/>
  </w:num>
  <w:num w:numId="5" w16cid:durableId="1849129531">
    <w:abstractNumId w:val="5"/>
  </w:num>
  <w:num w:numId="6" w16cid:durableId="16681735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68"/>
    <w:rsid w:val="000571D4"/>
    <w:rsid w:val="001F6961"/>
    <w:rsid w:val="00666036"/>
    <w:rsid w:val="00896E68"/>
    <w:rsid w:val="00920456"/>
    <w:rsid w:val="00F3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184C"/>
  <w15:docId w15:val="{401F6D49-AFBA-42A6-956E-09450FBE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60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D2663"/>
    <w:rPr>
      <w:sz w:val="20"/>
      <w:szCs w:val="20"/>
    </w:rPr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02FB4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801ED7"/>
    <w:pPr>
      <w:suppressAutoHyphens w:val="0"/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663"/>
    <w:pPr>
      <w:spacing w:after="0" w:line="240" w:lineRule="auto"/>
    </w:pPr>
    <w:rPr>
      <w:sz w:val="20"/>
      <w:szCs w:val="20"/>
    </w:rPr>
  </w:style>
  <w:style w:type="paragraph" w:customStyle="1" w:styleId="western">
    <w:name w:val="western"/>
    <w:basedOn w:val="Normalny"/>
    <w:qFormat/>
    <w:rsid w:val="008D5D57"/>
    <w:pPr>
      <w:suppressAutoHyphens w:val="0"/>
      <w:spacing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54066-B11C-4148-A708-3BC5209C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3131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dc:description/>
  <cp:lastModifiedBy>UM</cp:lastModifiedBy>
  <cp:revision>2</cp:revision>
  <cp:lastPrinted>2023-01-12T13:18:00Z</cp:lastPrinted>
  <dcterms:created xsi:type="dcterms:W3CDTF">2023-01-19T11:05:00Z</dcterms:created>
  <dcterms:modified xsi:type="dcterms:W3CDTF">2023-01-19T11:05:00Z</dcterms:modified>
  <dc:language>pl-PL</dc:language>
</cp:coreProperties>
</file>