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4C" w:rsidRPr="00113AFC" w:rsidRDefault="0029264C" w:rsidP="0029264C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>System kontroli dostępu działający w Służbie Ochrony Państwa oparty jest na systemie firmy „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Kantech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” pracującym pod kontrolą oprogramowania 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EntraPass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 wersja 4.01 lub wyższej, w architekturze klient-serwer. W systemie tym stosuje się dwa rodzaje kontrolerów KT-300 oraz KT-400. </w:t>
      </w:r>
    </w:p>
    <w:p w:rsidR="0029264C" w:rsidRPr="00113AFC" w:rsidRDefault="0029264C" w:rsidP="0029264C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Wobec powyższego wszystkie zaoferowane urządzenia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równoważne </w:t>
      </w: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muszą poprawnie współpracować z powyższym systemem, oprogramowaniem i kontrolerami bez możliwości stosowania: </w:t>
      </w:r>
    </w:p>
    <w:p w:rsidR="0029264C" w:rsidRPr="00113AFC" w:rsidRDefault="0029264C" w:rsidP="002926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urządzeń zamiennych,  pośredniczących lub sieciowych; </w:t>
      </w:r>
    </w:p>
    <w:p w:rsidR="0029264C" w:rsidRDefault="0029264C" w:rsidP="0029264C">
      <w:r w:rsidRPr="00113AFC">
        <w:t>innego oprogramowania lub stosowania wirtualizacji.</w:t>
      </w:r>
    </w:p>
    <w:p w:rsidR="0029264C" w:rsidRDefault="0029264C" w:rsidP="0029264C"/>
    <w:p w:rsidR="0029264C" w:rsidRDefault="0029264C" w:rsidP="0029264C">
      <w:pPr>
        <w:rPr>
          <w:rFonts w:eastAsiaTheme="minorHAnsi"/>
        </w:rPr>
      </w:pPr>
      <w:bookmarkStart w:id="0" w:name="_GoBack"/>
      <w:bookmarkEnd w:id="0"/>
      <w:r w:rsidRPr="009F1C43">
        <w:t xml:space="preserve">Opis parametrów technicznych poszczególnych urządzeń systemu kontroli dostępu </w:t>
      </w:r>
      <w:r>
        <w:t xml:space="preserve">oraz </w:t>
      </w:r>
      <w:r w:rsidRPr="009F1C43">
        <w:t xml:space="preserve">urządzeń równorzędnych </w:t>
      </w:r>
      <w:r>
        <w:t>przedstawia poniższa tabela:</w:t>
      </w:r>
    </w:p>
    <w:p w:rsidR="0029264C" w:rsidRDefault="0029264C" w:rsidP="0029264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489"/>
        <w:gridCol w:w="1836"/>
        <w:gridCol w:w="3694"/>
        <w:gridCol w:w="3166"/>
      </w:tblGrid>
      <w:tr w:rsidR="0029264C" w:rsidRPr="00687C25" w:rsidTr="00D01D4F">
        <w:tc>
          <w:tcPr>
            <w:tcW w:w="489" w:type="dxa"/>
            <w:vAlign w:val="center"/>
          </w:tcPr>
          <w:p w:rsidR="0029264C" w:rsidRPr="00687C25" w:rsidRDefault="0029264C" w:rsidP="00D01D4F">
            <w:pPr>
              <w:pStyle w:val="Bezodstpw"/>
            </w:pPr>
            <w:r w:rsidRPr="00687C25">
              <w:t>Lp.</w:t>
            </w:r>
          </w:p>
        </w:tc>
        <w:tc>
          <w:tcPr>
            <w:tcW w:w="1836" w:type="dxa"/>
            <w:vAlign w:val="center"/>
          </w:tcPr>
          <w:p w:rsidR="0029264C" w:rsidRPr="00687C25" w:rsidRDefault="0029264C" w:rsidP="00D01D4F">
            <w:pPr>
              <w:pStyle w:val="Bezodstpw"/>
            </w:pPr>
            <w:r w:rsidRPr="00687C25">
              <w:t>Nazwa urządzenia</w:t>
            </w: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</w:pPr>
            <w:r w:rsidRPr="00687C25">
              <w:t>Specyfikacja</w:t>
            </w:r>
          </w:p>
        </w:tc>
      </w:tr>
      <w:tr w:rsidR="0029264C" w:rsidRPr="00687C25" w:rsidTr="00D01D4F">
        <w:tc>
          <w:tcPr>
            <w:tcW w:w="489" w:type="dxa"/>
            <w:vMerge w:val="restart"/>
            <w:vAlign w:val="center"/>
          </w:tcPr>
          <w:p w:rsidR="0029264C" w:rsidRPr="00687C25" w:rsidRDefault="0029264C" w:rsidP="00D01D4F">
            <w:pPr>
              <w:pStyle w:val="Bezodstpw"/>
            </w:pPr>
            <w:r w:rsidRPr="00687C25">
              <w:t>1</w:t>
            </w:r>
          </w:p>
        </w:tc>
        <w:tc>
          <w:tcPr>
            <w:tcW w:w="1836" w:type="dxa"/>
            <w:vMerge w:val="restart"/>
            <w:vAlign w:val="center"/>
          </w:tcPr>
          <w:p w:rsidR="0029264C" w:rsidRPr="00687C25" w:rsidRDefault="0029264C" w:rsidP="00D01D4F">
            <w:pPr>
              <w:pStyle w:val="Bezodstpw"/>
            </w:pPr>
            <w:r w:rsidRPr="00687C25">
              <w:t xml:space="preserve">Kontroler KT400 </w:t>
            </w: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Obsługa minimum 4 porty czytników;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Obsługa minimum 2  drzwi dwustronnych;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Obsługa minimum 4  drzwi jednostronnych;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Urządzenie musi posiadać tryb autonomiczny;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Porty komunikacyjne: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Minimum 1 port sieciowy Ethernet 10/100 do połączenia z siecią LAN;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Minimum 1 port RS-232 (COM3) do bezpośredniego połączenia z komputerem lub z konwerterem transmisji na RS-485 obsługującym magistralę kontrolerów;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Minimum 1 port RS-485 (COM1) do  połączenia z magistralą kontrolerów;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Minimum 1 port SPI (interfejs szeregowy peryferii) do podłączenia modułów rozszerzeń wejść linii dozorowych i wyjść takich jak: KT-MOD-INP16 (16 wejść), KT-MOD-OUT16 (16 wyjść tranzystorowych), KT-MOD-REL8 (8 wyjść przekaźnikowych);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3694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Pamięć kart minimum:</w:t>
            </w:r>
          </w:p>
        </w:tc>
        <w:tc>
          <w:tcPr>
            <w:tcW w:w="3166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100 000;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3694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Pamięć zdarzeń minimum:</w:t>
            </w:r>
          </w:p>
        </w:tc>
        <w:tc>
          <w:tcPr>
            <w:tcW w:w="3166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20 000;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3694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Minimalna liczba linii dozorowych:</w:t>
            </w:r>
          </w:p>
        </w:tc>
        <w:tc>
          <w:tcPr>
            <w:tcW w:w="3166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16;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3694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Maksymalna liczba linii dozorowych:</w:t>
            </w:r>
          </w:p>
        </w:tc>
        <w:tc>
          <w:tcPr>
            <w:tcW w:w="3166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240 (dodanych poprzez moduły rozszerzeń np. KT-MOD-INP16);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3694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Minimalna liczba wyjść sterujących:</w:t>
            </w:r>
          </w:p>
        </w:tc>
        <w:tc>
          <w:tcPr>
            <w:tcW w:w="3166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4;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3694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Zasilanie kontrolera musi mieścić się w przedziale:</w:t>
            </w:r>
          </w:p>
        </w:tc>
        <w:tc>
          <w:tcPr>
            <w:tcW w:w="3166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od 16V do 100V napięcia zmiennego AC;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Zasilanie awaryjne musi być realizowane za pomocą 12V akumulatora o pojemności minimum 7Ah 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3694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Zakres temperatur pracy musi mieścić się w przedziale:</w:t>
            </w:r>
          </w:p>
        </w:tc>
        <w:tc>
          <w:tcPr>
            <w:tcW w:w="3166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od 2°C do 49°C;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3694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Wilgotność (bez kondensacji) musi mieścić się w przedziale:</w:t>
            </w:r>
          </w:p>
        </w:tc>
        <w:tc>
          <w:tcPr>
            <w:tcW w:w="3166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od 10% do 90%;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Wymiary obudowy maksymalnie musi wynieść 376 x 305 x 126 mm;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Pojemność pamięci FLASH minimum 16 MB;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Pojemność pamięci SDRAM minimum 64 MB;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Urządzenie musi obsługiwać minimum typy czytników takich jak zbliżeniowe, magnetyczne, biometryczne;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3694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Wyjścia do czytników</w:t>
            </w:r>
          </w:p>
        </w:tc>
        <w:tc>
          <w:tcPr>
            <w:tcW w:w="3166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 xml:space="preserve">12 VDC i 5 VDC / 400 </w:t>
            </w:r>
            <w:proofErr w:type="spellStart"/>
            <w:r w:rsidRPr="00687C25">
              <w:t>mA</w:t>
            </w:r>
            <w:proofErr w:type="spellEnd"/>
            <w:r w:rsidRPr="00687C25">
              <w:t>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3694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  <w:rPr>
                <w:strike/>
              </w:rPr>
            </w:pPr>
            <w:r w:rsidRPr="00687C25">
              <w:t>Kontroler musi posiadać na płycie głównej diody LED, które pokazują stan aktywności minimum :</w:t>
            </w:r>
          </w:p>
        </w:tc>
        <w:tc>
          <w:tcPr>
            <w:tcW w:w="3166" w:type="dxa"/>
            <w:vAlign w:val="center"/>
          </w:tcPr>
          <w:p w:rsidR="0029264C" w:rsidRPr="00687C25" w:rsidRDefault="0029264C" w:rsidP="00D01D4F">
            <w:pPr>
              <w:pStyle w:val="Bezodstpw"/>
              <w:jc w:val="both"/>
              <w:rPr>
                <w:strike/>
              </w:rPr>
            </w:pPr>
            <w:r w:rsidRPr="00687C25">
              <w:t>sieci Ethernet, zasilania, wyjść sterujących;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  <w:rPr>
                <w:strike/>
              </w:rPr>
            </w:pPr>
            <w:r w:rsidRPr="00687C25">
              <w:t xml:space="preserve">Urządzenie musi posiadać dodatkowe wyjście zasilające o napięciu minimum 12V DC i obciążeniu minimum 250 </w:t>
            </w:r>
            <w:proofErr w:type="spellStart"/>
            <w:r w:rsidRPr="00687C25">
              <w:t>mA</w:t>
            </w:r>
            <w:proofErr w:type="spellEnd"/>
            <w:r w:rsidRPr="00687C25">
              <w:t>.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Urządzenie musi posiadać monitorowane wyjścia do zamków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Urządzenie musi posiadać minimum 2 wyjścia sterujące do sygnalizatorów w czytnikach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  <w:rPr>
                <w:strike/>
              </w:rPr>
            </w:pPr>
            <w:r w:rsidRPr="00687C25">
              <w:t xml:space="preserve">Zaoferowane urządzenie musi poprawnie współpracować z używanym przez Zamawiającego oprogramowaniem nadzorczym </w:t>
            </w:r>
            <w:proofErr w:type="spellStart"/>
            <w:r w:rsidRPr="00687C25">
              <w:t>EntraPass</w:t>
            </w:r>
            <w:proofErr w:type="spellEnd"/>
            <w:r w:rsidRPr="00687C25">
              <w:t xml:space="preserve"> wersja 4.01 lub wyższej (bez wykorzystania mechanizmów wirtualizacji), w wersji odpowiedniej dla zaoferowanego procesora oraz zapewni kompatybilność w zakresie współdziałania w ramach funkcjonującej u Zamawiającego sieci informatycznej z systemem operacyjnym Windows 10 Professional PL. Pełna integracja z domeną Active Directory MS Windows (posiadaną przez Zamawiającego) oraz zarządzanie komputerami poprzez Zasady Grupy (GPO) Active Directory MS Windows;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rPr>
                <w:strike/>
              </w:rPr>
            </w:pPr>
            <w:r w:rsidRPr="00687C25">
              <w:t>W procesie komunikacji z bramką urządzenie musi posiadać możliwość kodowania algorytmem AES 128 bitowe, które znakomicie zabezpiecza transmisję danych zwłaszcza w przypadku połączeń internetowych z siecią WAN;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Na płycie kontrolera musi znajdować się również specjalne wejście linii dozorowej do podłączenia czujnika sabotażowego obudowy kontrolera. Funkcja ta musi być przypisana na stałe do tego wejścia;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Wyjścia napięć zasilających i  sterowania zamków muszą być zabezpieczone przed uszkodzeniem na wypadek zwarcia i kontrolowane;</w:t>
            </w:r>
          </w:p>
        </w:tc>
      </w:tr>
      <w:tr w:rsidR="0029264C" w:rsidRPr="00687C25" w:rsidTr="00D01D4F">
        <w:tc>
          <w:tcPr>
            <w:tcW w:w="489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29264C" w:rsidRPr="00687C25" w:rsidRDefault="0029264C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29264C" w:rsidRPr="00687C25" w:rsidRDefault="0029264C" w:rsidP="00D01D4F">
            <w:pPr>
              <w:pStyle w:val="Bezodstpw"/>
              <w:jc w:val="both"/>
            </w:pPr>
            <w:r w:rsidRPr="00687C25">
              <w:t>Kontroler musi ciągle monitorować stan zasilania sieciowego i akumulatora;</w:t>
            </w:r>
          </w:p>
        </w:tc>
      </w:tr>
    </w:tbl>
    <w:p w:rsidR="0029264C" w:rsidRDefault="0029264C" w:rsidP="0029264C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53B0" w:rsidRDefault="0029264C"/>
    <w:sectPr w:rsidR="004C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85E"/>
    <w:multiLevelType w:val="hybridMultilevel"/>
    <w:tmpl w:val="9D0E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4C"/>
    <w:rsid w:val="0029264C"/>
    <w:rsid w:val="00CA3675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44E5"/>
  <w15:chartTrackingRefBased/>
  <w15:docId w15:val="{9E8985A1-952F-48F6-A139-90E4021B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2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2020-11-20T09:33:00Z</dcterms:created>
  <dcterms:modified xsi:type="dcterms:W3CDTF">2020-11-20T09:35:00Z</dcterms:modified>
</cp:coreProperties>
</file>