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D205" w14:textId="3E8E2776" w:rsidR="00D74420" w:rsidRPr="00D74420" w:rsidRDefault="00D74420" w:rsidP="00D74420">
      <w:pPr>
        <w:rPr>
          <w:rFonts w:ascii="Garamond" w:hAnsi="Garamond" w:cstheme="minorHAnsi"/>
        </w:rPr>
      </w:pPr>
      <w:r w:rsidRPr="00D74420">
        <w:rPr>
          <w:rFonts w:ascii="Garamond" w:hAnsi="Garamond" w:cstheme="minorHAnsi"/>
        </w:rPr>
        <w:t>Nr sprawy: DFP.271.78.2022.KK</w:t>
      </w:r>
      <w:r>
        <w:rPr>
          <w:rFonts w:ascii="Garamond" w:hAnsi="Garamond" w:cstheme="minorHAnsi"/>
        </w:rPr>
        <w:tab/>
      </w:r>
      <w:r>
        <w:rPr>
          <w:rFonts w:ascii="Garamond" w:hAnsi="Garamond" w:cstheme="minorHAnsi"/>
        </w:rPr>
        <w:tab/>
        <w:t xml:space="preserve">                                                 </w:t>
      </w:r>
      <w:r w:rsidRPr="00D74420">
        <w:rPr>
          <w:rFonts w:ascii="Garamond" w:hAnsi="Garamond" w:cstheme="minorHAnsi"/>
        </w:rPr>
        <w:t xml:space="preserve"> </w:t>
      </w:r>
      <w:r>
        <w:rPr>
          <w:rFonts w:ascii="Garamond" w:hAnsi="Garamond" w:cstheme="minorHAnsi"/>
        </w:rPr>
        <w:t>Załącznik nr 8</w:t>
      </w:r>
      <w:r w:rsidRPr="00D74420">
        <w:rPr>
          <w:rFonts w:ascii="Garamond" w:hAnsi="Garamond" w:cstheme="minorHAnsi"/>
        </w:rPr>
        <w:t xml:space="preserve"> do SWZ</w:t>
      </w:r>
    </w:p>
    <w:p w14:paraId="4F6D3B45" w14:textId="6F24C2F1" w:rsidR="005B140F" w:rsidRPr="00D74420" w:rsidRDefault="005B140F" w:rsidP="00D74420">
      <w:pPr>
        <w:spacing w:after="120"/>
        <w:rPr>
          <w:rFonts w:ascii="Garamond" w:hAnsi="Garamond" w:cstheme="minorHAnsi"/>
        </w:rPr>
      </w:pPr>
    </w:p>
    <w:p w14:paraId="69D4DB8A" w14:textId="6009B2FF" w:rsidR="005B140F" w:rsidRPr="00D74420" w:rsidRDefault="005B140F" w:rsidP="00D74420">
      <w:pPr>
        <w:spacing w:after="0"/>
        <w:jc w:val="center"/>
        <w:rPr>
          <w:rFonts w:ascii="Garamond" w:hAnsi="Garamond" w:cstheme="minorHAnsi"/>
          <w:b/>
        </w:rPr>
      </w:pPr>
      <w:r w:rsidRPr="00D74420">
        <w:rPr>
          <w:rFonts w:ascii="Garamond" w:hAnsi="Garamond" w:cstheme="minorHAnsi"/>
          <w:b/>
        </w:rPr>
        <w:t>UZASADNIENIE BRAKU PODZIAŁU ZAMÓWIENIA NA CZĘŚCI</w:t>
      </w:r>
    </w:p>
    <w:p w14:paraId="25F71C38" w14:textId="77777777" w:rsidR="005B140F" w:rsidRPr="00B65837" w:rsidRDefault="005B140F" w:rsidP="005B140F">
      <w:pPr>
        <w:jc w:val="center"/>
        <w:rPr>
          <w:rFonts w:ascii="Garamond" w:hAnsi="Garamond" w:cstheme="minorHAnsi"/>
        </w:rPr>
      </w:pPr>
    </w:p>
    <w:p w14:paraId="10DF91E1" w14:textId="77777777" w:rsidR="00D74420" w:rsidRPr="00B65837" w:rsidRDefault="00D74420" w:rsidP="00F61B23">
      <w:pPr>
        <w:spacing w:after="120" w:line="288" w:lineRule="auto"/>
        <w:ind w:firstLine="709"/>
        <w:jc w:val="both"/>
        <w:rPr>
          <w:rFonts w:ascii="Garamond" w:hAnsi="Garamond" w:cstheme="minorHAnsi"/>
        </w:rPr>
      </w:pPr>
      <w:r w:rsidRPr="00B65837">
        <w:rPr>
          <w:rFonts w:ascii="Garamond" w:hAnsi="Garamond" w:cstheme="minorHAnsi"/>
        </w:rPr>
        <w:t>Na potrzeby postępowania o udzielenie zamówienia publicznego pn. dostawa i relokacja wyposażenia dla Centrum Badań Mózgu Uniwersytetu Jagiellońskiego i pracowni MR Szpitala Uniwersyteckiego w Krakowie wraz z przystosowaniem pomieszczeń, instalacją, uruchomieniem i szkoleniem personelu.</w:t>
      </w:r>
    </w:p>
    <w:p w14:paraId="6F9BA860" w14:textId="360304D9" w:rsidR="00D74420" w:rsidRPr="00B65837" w:rsidRDefault="00D74420" w:rsidP="00B65837">
      <w:pPr>
        <w:spacing w:after="120" w:line="288" w:lineRule="auto"/>
        <w:jc w:val="both"/>
        <w:rPr>
          <w:rFonts w:ascii="Garamond" w:hAnsi="Garamond" w:cstheme="minorHAnsi"/>
        </w:rPr>
      </w:pPr>
    </w:p>
    <w:p w14:paraId="200C24A9" w14:textId="03EE7F70" w:rsidR="005B140F" w:rsidRPr="00B65837" w:rsidRDefault="005B140F" w:rsidP="00F61B23">
      <w:pPr>
        <w:spacing w:after="120" w:line="288" w:lineRule="auto"/>
        <w:ind w:firstLine="709"/>
        <w:jc w:val="both"/>
        <w:rPr>
          <w:rFonts w:ascii="Garamond" w:hAnsi="Garamond" w:cstheme="minorHAnsi"/>
        </w:rPr>
      </w:pPr>
      <w:r w:rsidRPr="00B65837">
        <w:rPr>
          <w:rFonts w:ascii="Garamond" w:hAnsi="Garamond" w:cstheme="minorHAnsi"/>
        </w:rPr>
        <w:t>Dział Aparatury Medycznej potwierdza, że zamówienie nie może być podzielone na części – przedmiot zamówienia powin</w:t>
      </w:r>
      <w:r w:rsidR="008B1768" w:rsidRPr="00B65837">
        <w:rPr>
          <w:rFonts w:ascii="Garamond" w:hAnsi="Garamond" w:cstheme="minorHAnsi"/>
        </w:rPr>
        <w:t>ien</w:t>
      </w:r>
      <w:r w:rsidR="00C83F7C" w:rsidRPr="00B65837">
        <w:rPr>
          <w:rFonts w:ascii="Garamond" w:hAnsi="Garamond" w:cstheme="minorHAnsi"/>
        </w:rPr>
        <w:t xml:space="preserve"> być zakupiony</w:t>
      </w:r>
      <w:r w:rsidRPr="00B65837">
        <w:rPr>
          <w:rFonts w:ascii="Garamond" w:hAnsi="Garamond" w:cstheme="minorHAnsi"/>
        </w:rPr>
        <w:t xml:space="preserve"> ja</w:t>
      </w:r>
      <w:r w:rsidR="00C83F7C" w:rsidRPr="00B65837">
        <w:rPr>
          <w:rFonts w:ascii="Garamond" w:hAnsi="Garamond" w:cstheme="minorHAnsi"/>
        </w:rPr>
        <w:t>ko całość w jednym postępowaniu z powodów opisanych poniżej.</w:t>
      </w:r>
      <w:r w:rsidRPr="00B65837">
        <w:rPr>
          <w:rFonts w:ascii="Garamond" w:hAnsi="Garamond" w:cstheme="minorHAnsi"/>
        </w:rPr>
        <w:t xml:space="preserve">  </w:t>
      </w:r>
    </w:p>
    <w:p w14:paraId="30AFAF8A" w14:textId="0F959162" w:rsidR="00EB6170" w:rsidRPr="00B65837" w:rsidRDefault="00645CEA" w:rsidP="00F61B23">
      <w:pPr>
        <w:spacing w:after="120" w:line="288" w:lineRule="auto"/>
        <w:ind w:firstLine="709"/>
        <w:jc w:val="both"/>
        <w:rPr>
          <w:rFonts w:ascii="Garamond" w:hAnsi="Garamond" w:cstheme="minorHAnsi"/>
        </w:rPr>
      </w:pPr>
      <w:r w:rsidRPr="00B65837">
        <w:rPr>
          <w:rFonts w:ascii="Garamond" w:hAnsi="Garamond" w:cstheme="minorHAnsi"/>
        </w:rPr>
        <w:t>Zamówienie nie zostało podzielone na części ponieważ zamawiają</w:t>
      </w:r>
      <w:r w:rsidR="00B65837" w:rsidRPr="00B65837">
        <w:rPr>
          <w:rFonts w:ascii="Garamond" w:hAnsi="Garamond" w:cstheme="minorHAnsi"/>
        </w:rPr>
        <w:t>cy nie miał zamiaru korzystać z </w:t>
      </w:r>
      <w:r w:rsidRPr="00B65837">
        <w:rPr>
          <w:rFonts w:ascii="Garamond" w:hAnsi="Garamond" w:cstheme="minorHAnsi"/>
        </w:rPr>
        <w:t xml:space="preserve">możliwości, jaką daje art. </w:t>
      </w:r>
      <w:r w:rsidR="00B01E73" w:rsidRPr="00B65837">
        <w:rPr>
          <w:rFonts w:ascii="Garamond" w:hAnsi="Garamond" w:cstheme="minorHAnsi"/>
        </w:rPr>
        <w:t>91</w:t>
      </w:r>
      <w:r w:rsidRPr="00B65837">
        <w:rPr>
          <w:rFonts w:ascii="Garamond" w:hAnsi="Garamond" w:cstheme="minorHAnsi"/>
        </w:rPr>
        <w:t xml:space="preserve"> ust. 1 ustawy Prawo zamówień publicznych. Przedmiotem zamówienia jest </w:t>
      </w:r>
      <w:r w:rsidR="00151E1C" w:rsidRPr="00B65837">
        <w:rPr>
          <w:rFonts w:ascii="Garamond" w:hAnsi="Garamond" w:cstheme="minorHAnsi"/>
        </w:rPr>
        <w:t>m. in. pozyskanie</w:t>
      </w:r>
      <w:r w:rsidRPr="00B65837">
        <w:rPr>
          <w:rFonts w:ascii="Garamond" w:hAnsi="Garamond" w:cstheme="minorHAnsi"/>
        </w:rPr>
        <w:t xml:space="preserve"> </w:t>
      </w:r>
      <w:r w:rsidR="00151E1C" w:rsidRPr="00B65837">
        <w:rPr>
          <w:rFonts w:ascii="Garamond" w:hAnsi="Garamond" w:cstheme="minorHAnsi"/>
        </w:rPr>
        <w:t>nowego aparatu MR oraz przeniesienie eg</w:t>
      </w:r>
      <w:r w:rsidR="008B1768" w:rsidRPr="00B65837">
        <w:rPr>
          <w:rFonts w:ascii="Garamond" w:hAnsi="Garamond" w:cstheme="minorHAnsi"/>
        </w:rPr>
        <w:t>z</w:t>
      </w:r>
      <w:r w:rsidR="00151E1C" w:rsidRPr="00B65837">
        <w:rPr>
          <w:rFonts w:ascii="Garamond" w:hAnsi="Garamond" w:cstheme="minorHAnsi"/>
        </w:rPr>
        <w:t>emplarza już posiadanego</w:t>
      </w:r>
      <w:r w:rsidR="008B1768" w:rsidRPr="00B65837">
        <w:rPr>
          <w:rFonts w:ascii="Garamond" w:hAnsi="Garamond" w:cstheme="minorHAnsi"/>
        </w:rPr>
        <w:t xml:space="preserve"> </w:t>
      </w:r>
      <w:r w:rsidR="00B65837" w:rsidRPr="00B65837">
        <w:rPr>
          <w:rFonts w:ascii="Garamond" w:hAnsi="Garamond" w:cstheme="minorHAnsi"/>
        </w:rPr>
        <w:t>(wraz z </w:t>
      </w:r>
      <w:r w:rsidR="00151E1C" w:rsidRPr="00B65837">
        <w:rPr>
          <w:rFonts w:ascii="Garamond" w:hAnsi="Garamond" w:cstheme="minorHAnsi"/>
        </w:rPr>
        <w:t xml:space="preserve">towarzyszącym im wyposażeniem) w sposób zapewniający jak najwyższy poziom kompatybilności pomiędzy nimi, możliwy do zapewnienia przez tego samego wykonawcę, więc </w:t>
      </w:r>
      <w:r w:rsidRPr="00B65837">
        <w:rPr>
          <w:rFonts w:ascii="Garamond" w:hAnsi="Garamond" w:cstheme="minorHAnsi"/>
        </w:rPr>
        <w:t>podział zamówienia na części jest w ocenie zamawiającego niezasadny.</w:t>
      </w:r>
      <w:r w:rsidR="00151E1C" w:rsidRPr="00B65837">
        <w:rPr>
          <w:rFonts w:ascii="Garamond" w:hAnsi="Garamond" w:cstheme="minorHAnsi"/>
        </w:rPr>
        <w:t xml:space="preserve"> </w:t>
      </w:r>
      <w:r w:rsidR="00EB6170" w:rsidRPr="00B65837">
        <w:rPr>
          <w:rFonts w:ascii="Garamond" w:hAnsi="Garamond" w:cstheme="minorHAnsi"/>
        </w:rPr>
        <w:t>Charakter wszystkich działań technicznych, takich jak adaptacja pomieszczeń, specjalistyczny transport, instalacja i uruchomienie jest dokładnie tego samego rodzaju dla obu urządzeń medycznych stanowiących przedmiot zamówienia</w:t>
      </w:r>
    </w:p>
    <w:p w14:paraId="2F794D7D" w14:textId="19874A43" w:rsidR="00B4512E" w:rsidRPr="00B65837" w:rsidRDefault="00EB6170"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hAnsi="Garamond" w:cstheme="minorHAnsi"/>
        </w:rPr>
        <w:t>Charakterystyczną cechą nowoczesnych projektów technologicznych jest ich integralność. Stopień zaawansowania technologicznego urządzeń, aparatów lub systemów medycznych w naturalny sposób obiektywizuje konieczność koordynowania złożonych, wieloeta</w:t>
      </w:r>
      <w:r w:rsidR="00B65837" w:rsidRPr="00B65837">
        <w:rPr>
          <w:rFonts w:ascii="Garamond" w:hAnsi="Garamond" w:cstheme="minorHAnsi"/>
        </w:rPr>
        <w:t>powych procesów logistycznych i </w:t>
      </w:r>
      <w:r w:rsidRPr="00B65837">
        <w:rPr>
          <w:rFonts w:ascii="Garamond" w:hAnsi="Garamond" w:cstheme="minorHAnsi"/>
        </w:rPr>
        <w:t xml:space="preserve">technicznych na etapie projektowania dostaw, adaptacji pomieszczeń, dostosowania infrastruktury technicznej i informatycznej, instalacji i uruchomienia oraz etapu szkoleń specjalistycznych. Najbardziej skuteczną metodą koordynacji procesów logistycznych i technicznych jest ich przekazanie w formie jednego pakietu zadań jednemu wykonawcy, wyłonionemu w procesie postępowania o zamówienie publiczne. </w:t>
      </w:r>
      <w:r w:rsidR="00B4512E" w:rsidRPr="00B65837">
        <w:rPr>
          <w:rFonts w:ascii="Garamond" w:eastAsia="Times New Roman" w:hAnsi="Garamond" w:cstheme="minorHAnsi"/>
          <w:lang w:eastAsia="pl-PL"/>
        </w:rPr>
        <w:t xml:space="preserve">Przedmiotem inwestycji jest kompleksowa realizacja wyposażenia niezbędnego do funkcjonowania dwóch pracowni rezonansu magnetycznego przeznaczonych na potrzeby UJ (tzw. Centrum Badań Mózgu) oraz Szpitala Uniwersyteckiego w Krakowie. Docelową lokalizacją inwestycji będzie obecna pracownia Szpitala Uniwersyteckiego w Krakowie, </w:t>
      </w:r>
      <w:r w:rsidRPr="00B65837">
        <w:rPr>
          <w:rFonts w:ascii="Garamond" w:eastAsia="Times New Roman" w:hAnsi="Garamond" w:cstheme="minorHAnsi"/>
          <w:lang w:eastAsia="pl-PL"/>
        </w:rPr>
        <w:t xml:space="preserve">przy </w:t>
      </w:r>
      <w:r w:rsidR="00B4512E" w:rsidRPr="00B65837">
        <w:rPr>
          <w:rFonts w:ascii="Garamond" w:eastAsia="Times New Roman" w:hAnsi="Garamond" w:cstheme="minorHAnsi"/>
          <w:lang w:eastAsia="pl-PL"/>
        </w:rPr>
        <w:t xml:space="preserve">ul. Kopernika 50, gdzie aktualnie użytkowany jest aparat Magnetom Sola, </w:t>
      </w:r>
      <w:proofErr w:type="spellStart"/>
      <w:r w:rsidR="00B4512E" w:rsidRPr="00B65837">
        <w:rPr>
          <w:rFonts w:ascii="Garamond" w:eastAsia="Times New Roman" w:hAnsi="Garamond" w:cstheme="minorHAnsi"/>
          <w:lang w:eastAsia="pl-PL"/>
        </w:rPr>
        <w:t>prod</w:t>
      </w:r>
      <w:proofErr w:type="spellEnd"/>
      <w:r w:rsidR="00B4512E" w:rsidRPr="00B65837">
        <w:rPr>
          <w:rFonts w:ascii="Garamond" w:eastAsia="Times New Roman" w:hAnsi="Garamond" w:cstheme="minorHAnsi"/>
          <w:lang w:eastAsia="pl-PL"/>
        </w:rPr>
        <w:t>. f. Siemens o natężeniu pola magnetycznego 1,5 T. W celu realizacji inwestycji niezbędne jest:</w:t>
      </w:r>
    </w:p>
    <w:p w14:paraId="5B9E6EB4"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 - alokacja w/w aparatu do nowej siedziby Szpitala (NSSU) przy ulicy Jakubowskiego 2,</w:t>
      </w:r>
    </w:p>
    <w:p w14:paraId="6809D55E"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wykonanie niezbędnych prac adaptacyjnych w lokalizacji NSSU pod aparat Magnetom Sola,</w:t>
      </w:r>
    </w:p>
    <w:p w14:paraId="5C4B5927"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objęcie aparatu Magnetom Sola nową gwarancją (min. 2 lata) i doposażenie go w dodatkowe, niezbędne do działalności w nowej lokalizacji funkcje,</w:t>
      </w:r>
    </w:p>
    <w:p w14:paraId="51A81D7C"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lastRenderedPageBreak/>
        <w:t xml:space="preserve">- zakup, dostawa i instalacja nowego aparatu MR (rezonansu magnetycznego do </w:t>
      </w:r>
      <w:proofErr w:type="spellStart"/>
      <w:r w:rsidRPr="00B65837">
        <w:rPr>
          <w:rFonts w:ascii="Garamond" w:eastAsia="Times New Roman" w:hAnsi="Garamond" w:cstheme="minorHAnsi"/>
          <w:lang w:eastAsia="pl-PL"/>
        </w:rPr>
        <w:t>pracownii</w:t>
      </w:r>
      <w:proofErr w:type="spellEnd"/>
      <w:r w:rsidRPr="00B65837">
        <w:rPr>
          <w:rFonts w:ascii="Garamond" w:eastAsia="Times New Roman" w:hAnsi="Garamond" w:cstheme="minorHAnsi"/>
          <w:lang w:eastAsia="pl-PL"/>
        </w:rPr>
        <w:t xml:space="preserve"> przy ulicy Kopernika 50 (aparat o natężeniu pola 3 T, skonfigurowany głównie do celów naukowych),</w:t>
      </w:r>
    </w:p>
    <w:p w14:paraId="3980029A" w14:textId="7B9EF9A5"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 wykonanie w </w:t>
      </w:r>
      <w:proofErr w:type="spellStart"/>
      <w:r w:rsidRPr="00B65837">
        <w:rPr>
          <w:rFonts w:ascii="Garamond" w:eastAsia="Times New Roman" w:hAnsi="Garamond" w:cstheme="minorHAnsi"/>
          <w:lang w:eastAsia="pl-PL"/>
        </w:rPr>
        <w:t>pracownii</w:t>
      </w:r>
      <w:proofErr w:type="spellEnd"/>
      <w:r w:rsidRPr="00B65837">
        <w:rPr>
          <w:rFonts w:ascii="Garamond" w:eastAsia="Times New Roman" w:hAnsi="Garamond" w:cstheme="minorHAnsi"/>
          <w:lang w:eastAsia="pl-PL"/>
        </w:rPr>
        <w:t xml:space="preserve"> </w:t>
      </w:r>
      <w:r w:rsidR="00EB6170" w:rsidRPr="00B65837">
        <w:rPr>
          <w:rFonts w:ascii="Garamond" w:eastAsia="Times New Roman" w:hAnsi="Garamond" w:cstheme="minorHAnsi"/>
          <w:lang w:eastAsia="pl-PL"/>
        </w:rPr>
        <w:t xml:space="preserve">przy </w:t>
      </w:r>
      <w:r w:rsidRPr="00B65837">
        <w:rPr>
          <w:rFonts w:ascii="Garamond" w:eastAsia="Times New Roman" w:hAnsi="Garamond" w:cstheme="minorHAnsi"/>
          <w:lang w:eastAsia="pl-PL"/>
        </w:rPr>
        <w:t>ul. Kopernika 50 niezbędnych prac adaptacyjnych, odbiór pomieszczeń i aparatu.</w:t>
      </w:r>
    </w:p>
    <w:p w14:paraId="7EF09EA4" w14:textId="219E9BED"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Za kompleksowością realizacji inwestycji (jedno postępowanie i umowa, jeden generalny wykonawca) przemawia szereg argumentów o charakterze </w:t>
      </w:r>
      <w:r w:rsidR="00EB6170" w:rsidRPr="00B65837">
        <w:rPr>
          <w:rFonts w:ascii="Garamond" w:eastAsia="Times New Roman" w:hAnsi="Garamond" w:cstheme="minorHAnsi"/>
          <w:lang w:eastAsia="pl-PL"/>
        </w:rPr>
        <w:t xml:space="preserve">logistycznym, </w:t>
      </w:r>
      <w:r w:rsidR="00B65837" w:rsidRPr="00B65837">
        <w:rPr>
          <w:rFonts w:ascii="Garamond" w:eastAsia="Times New Roman" w:hAnsi="Garamond" w:cstheme="minorHAnsi"/>
          <w:lang w:eastAsia="pl-PL"/>
        </w:rPr>
        <w:t>technicznym, gospodarczym i </w:t>
      </w:r>
      <w:r w:rsidRPr="00B65837">
        <w:rPr>
          <w:rFonts w:ascii="Garamond" w:eastAsia="Times New Roman" w:hAnsi="Garamond" w:cstheme="minorHAnsi"/>
          <w:lang w:eastAsia="pl-PL"/>
        </w:rPr>
        <w:t xml:space="preserve">środowiskowym ściśle powiązanych z obecną rolą Szpitala Uniwersyteckiego. Aparat rezonansu magnetycznego (MR) </w:t>
      </w:r>
      <w:r w:rsidRPr="00B65837">
        <w:rPr>
          <w:rFonts w:ascii="Garamond" w:hAnsi="Garamond" w:cstheme="minorHAnsi"/>
        </w:rPr>
        <w:t xml:space="preserve">to jedno z najbardziej zaawansowanych </w:t>
      </w:r>
      <w:r w:rsidR="00EB6170" w:rsidRPr="00B65837">
        <w:rPr>
          <w:rFonts w:ascii="Garamond" w:hAnsi="Garamond" w:cstheme="minorHAnsi"/>
        </w:rPr>
        <w:t xml:space="preserve">technologicznie </w:t>
      </w:r>
      <w:r w:rsidR="00B65837" w:rsidRPr="00B65837">
        <w:rPr>
          <w:rFonts w:ascii="Garamond" w:hAnsi="Garamond" w:cstheme="minorHAnsi"/>
        </w:rPr>
        <w:t>urządzeń stosowanych w </w:t>
      </w:r>
      <w:r w:rsidRPr="00B65837">
        <w:rPr>
          <w:rFonts w:ascii="Garamond" w:hAnsi="Garamond" w:cstheme="minorHAnsi"/>
        </w:rPr>
        <w:t>medycynie, którego p</w:t>
      </w:r>
      <w:r w:rsidRPr="00B65837">
        <w:rPr>
          <w:rFonts w:ascii="Garamond" w:eastAsia="Times New Roman" w:hAnsi="Garamond" w:cstheme="minorHAnsi"/>
          <w:lang w:eastAsia="pl-PL"/>
        </w:rPr>
        <w:t>oziom rozwiązań konstrukcyjnych, jego rozmiary i masa (w tym wypadku</w:t>
      </w:r>
      <w:r w:rsidR="00EB6170" w:rsidRPr="00B65837">
        <w:rPr>
          <w:rFonts w:ascii="Garamond" w:eastAsia="Times New Roman" w:hAnsi="Garamond" w:cstheme="minorHAnsi"/>
          <w:lang w:eastAsia="pl-PL"/>
        </w:rPr>
        <w:t xml:space="preserve"> masa samego magnesu wynieść może ok. 13 ton</w:t>
      </w:r>
      <w:r w:rsidRPr="00B65837">
        <w:rPr>
          <w:rFonts w:ascii="Garamond" w:eastAsia="Times New Roman" w:hAnsi="Garamond" w:cstheme="minorHAnsi"/>
          <w:lang w:eastAsia="pl-PL"/>
        </w:rPr>
        <w:t xml:space="preserve">) oraz stopień powiązania z infrastrukturą obiektu w zasadzie wykluczają rozdzielenie jego dostawy i instalacji od </w:t>
      </w:r>
      <w:r w:rsidR="00EB6170" w:rsidRPr="00B65837">
        <w:rPr>
          <w:rFonts w:ascii="Garamond" w:eastAsia="Times New Roman" w:hAnsi="Garamond" w:cstheme="minorHAnsi"/>
          <w:lang w:eastAsia="pl-PL"/>
        </w:rPr>
        <w:t xml:space="preserve">wysokospecjalistycznych </w:t>
      </w:r>
      <w:r w:rsidRPr="00B65837">
        <w:rPr>
          <w:rFonts w:ascii="Garamond" w:eastAsia="Times New Roman" w:hAnsi="Garamond" w:cstheme="minorHAnsi"/>
          <w:lang w:eastAsia="pl-PL"/>
        </w:rPr>
        <w:t xml:space="preserve">prac adaptacyjnych, które muszą być przeprowadzane przez jednego wykonawcę. </w:t>
      </w:r>
      <w:r w:rsidR="00EB6170" w:rsidRPr="00B65837">
        <w:rPr>
          <w:rFonts w:ascii="Garamond" w:eastAsia="Times New Roman" w:hAnsi="Garamond" w:cstheme="minorHAnsi"/>
          <w:lang w:eastAsia="pl-PL"/>
        </w:rPr>
        <w:t xml:space="preserve">Wiąże się to z koniecznością koordynowania bardzo złożonych procesów logistycznych oraz odpowiedzialnością </w:t>
      </w:r>
      <w:r w:rsidRPr="00B65837">
        <w:rPr>
          <w:rFonts w:ascii="Garamond" w:eastAsia="Times New Roman" w:hAnsi="Garamond" w:cstheme="minorHAnsi"/>
          <w:lang w:eastAsia="pl-PL"/>
        </w:rPr>
        <w:t xml:space="preserve">za wyrób medyczny z uwagi na szereg jego powiązań z elementami takimi jak:  </w:t>
      </w:r>
    </w:p>
    <w:p w14:paraId="7002EB77"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sieci energetyczne – wymagane moce przyłączeniowe dla tego typu urządzeń to wartości rzędu 90-100 kVA,</w:t>
      </w:r>
    </w:p>
    <w:p w14:paraId="3B103808" w14:textId="500F764F"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 konieczność odizolowania magnesu i systemu rezonansu od wpływu zewnętrznych czynników indukujących pole elektromagnetyczne, które mogłyby zakłócać jego pracę, poprzez </w:t>
      </w:r>
      <w:r w:rsidR="00EB6170" w:rsidRPr="00B65837">
        <w:rPr>
          <w:rFonts w:ascii="Garamond" w:eastAsia="Times New Roman" w:hAnsi="Garamond" w:cstheme="minorHAnsi"/>
          <w:lang w:eastAsia="pl-PL"/>
        </w:rPr>
        <w:t>budowę i instalację przesłon pola magnetycznego oraz ekranującej tzw. klatki Faradaya</w:t>
      </w:r>
      <w:r w:rsidRPr="00B65837">
        <w:rPr>
          <w:rFonts w:ascii="Garamond" w:eastAsia="Times New Roman" w:hAnsi="Garamond" w:cstheme="minorHAnsi"/>
          <w:lang w:eastAsia="pl-PL"/>
        </w:rPr>
        <w:t>, której p</w:t>
      </w:r>
      <w:r w:rsidR="00B65837" w:rsidRPr="00B65837">
        <w:rPr>
          <w:rFonts w:ascii="Garamond" w:eastAsia="Times New Roman" w:hAnsi="Garamond" w:cstheme="minorHAnsi"/>
          <w:lang w:eastAsia="pl-PL"/>
        </w:rPr>
        <w:t>arametry są ściśle powiązane z </w:t>
      </w:r>
      <w:r w:rsidRPr="00B65837">
        <w:rPr>
          <w:rFonts w:ascii="Garamond" w:eastAsia="Times New Roman" w:hAnsi="Garamond" w:cstheme="minorHAnsi"/>
          <w:lang w:eastAsia="pl-PL"/>
        </w:rPr>
        <w:t>konkretnym egzemplarzem urządzenia.</w:t>
      </w:r>
    </w:p>
    <w:p w14:paraId="784251DC"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zapewnienie odpowiedniej wentylacji i cyrkulacji powietrza oraz wielokrotności wymian powietrza wymaganych przepisami prawa i egzekwowanych przez uprawnione instytucje (np. WSSE),</w:t>
      </w:r>
    </w:p>
    <w:p w14:paraId="234B65A7" w14:textId="77777777"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 sieci informatyczne - do zapewnienia odpowiedniej przepustowości w celu bezstratnego </w:t>
      </w:r>
      <w:proofErr w:type="spellStart"/>
      <w:r w:rsidRPr="00B65837">
        <w:rPr>
          <w:rFonts w:ascii="Garamond" w:eastAsia="Times New Roman" w:hAnsi="Garamond" w:cstheme="minorHAnsi"/>
          <w:lang w:eastAsia="pl-PL"/>
        </w:rPr>
        <w:t>przesyłu</w:t>
      </w:r>
      <w:proofErr w:type="spellEnd"/>
      <w:r w:rsidRPr="00B65837">
        <w:rPr>
          <w:rFonts w:ascii="Garamond" w:eastAsia="Times New Roman" w:hAnsi="Garamond" w:cstheme="minorHAnsi"/>
          <w:lang w:eastAsia="pl-PL"/>
        </w:rPr>
        <w:t xml:space="preserve"> danych, ich archiwizacji, analizy i interpretacji.</w:t>
      </w:r>
    </w:p>
    <w:p w14:paraId="1E876D8B" w14:textId="71BC6CE2"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Konieczność wyprowadzenia obecnie używanego aparatu i jego alokacja do NSSU wiąże się m. in. z wyburzeniem ściany frontowej budynku przy ulicy Kopernika 50. Najbardziej racjonalnym (zarówno konstrukcyjnie jak i ekonomicznie) rozwiązaniem jest wykorzystanie powstałego otworu zarówno do wyprowadzenia starego aparatu, wprowadzenie nowego systemu i ponowne zamknięcie ściany budynku wraz z odtworzeniem elewacji. Uniknie się w ten sposób powtórzenia tej operacji dla obu urządzeń z osobna (a to oznaczałoby m. in.: niepotrzebne wydatki, osłabianie konstrukcji budynku, powtórna dezorganizacja pracy szpitala, w tym funkcjonującego w tym samym budynku tymczasowego szpitala „</w:t>
      </w:r>
      <w:proofErr w:type="spellStart"/>
      <w:r w:rsidRPr="00B65837">
        <w:rPr>
          <w:rFonts w:ascii="Garamond" w:eastAsia="Times New Roman" w:hAnsi="Garamond" w:cstheme="minorHAnsi"/>
          <w:lang w:eastAsia="pl-PL"/>
        </w:rPr>
        <w:t>covidowego</w:t>
      </w:r>
      <w:proofErr w:type="spellEnd"/>
      <w:r w:rsidRPr="00B65837">
        <w:rPr>
          <w:rFonts w:ascii="Garamond" w:eastAsia="Times New Roman" w:hAnsi="Garamond" w:cstheme="minorHAnsi"/>
          <w:lang w:eastAsia="pl-PL"/>
        </w:rPr>
        <w:t>”). Zmniejszone będzie także ryzyko związane z ingerencją w układ drogowy ul. Kopernika – rozmiary urządzeń i ich masy będą prawdopodobnie wymuszały blokowanie pasów drogowych, jazdę pod prąd, zatrzymanie ruchu w okolicach Ronda Mogilskiego, w tym dróg dojazdowych do czynnych obiektów szpitalnych, itp.</w:t>
      </w:r>
      <w:r w:rsidR="0020267F" w:rsidRPr="00B65837">
        <w:rPr>
          <w:rFonts w:ascii="Garamond" w:eastAsia="Times New Roman" w:hAnsi="Garamond" w:cstheme="minorHAnsi"/>
          <w:lang w:eastAsia="pl-PL"/>
        </w:rPr>
        <w:t xml:space="preserve"> Połączenie prac budowlanych związanych z wyprowadzeniem obecnie posiadanego aparatu i wprowadzeniem nowego systemu ma także uzasadnienie konstrukcyjne – ciężar nowego systemu jest znacząco wyższy, równolegle do opisanych wyżej prac będą musiały być prowadzone prace gwarantujące nośność stropu w miejscu instalacji aparatu oraz na jego drodze transportowej.</w:t>
      </w:r>
    </w:p>
    <w:p w14:paraId="4DE0BD21" w14:textId="43BED941" w:rsidR="00EB6170" w:rsidRPr="00B65837" w:rsidRDefault="00EB6170" w:rsidP="00EB6170">
      <w:pPr>
        <w:spacing w:before="100" w:beforeAutospacing="1" w:after="100" w:afterAutospacing="1" w:line="288" w:lineRule="auto"/>
        <w:ind w:firstLine="919"/>
        <w:jc w:val="both"/>
        <w:rPr>
          <w:rFonts w:ascii="Garamond" w:eastAsia="Times New Roman" w:hAnsi="Garamond" w:cstheme="minorHAnsi"/>
          <w:strike/>
          <w:lang w:eastAsia="pl-PL"/>
        </w:rPr>
      </w:pPr>
      <w:r w:rsidRPr="00B65837">
        <w:rPr>
          <w:rFonts w:ascii="Garamond" w:eastAsia="Times New Roman" w:hAnsi="Garamond" w:cstheme="minorHAnsi"/>
          <w:lang w:eastAsia="pl-PL"/>
        </w:rPr>
        <w:lastRenderedPageBreak/>
        <w:t xml:space="preserve">Połączenie prac polegających na demontażu starego urządzenia oraz wprowadzenie nowego systemu znajduje swoje uzasadnienie także w czynnikach środowiskowych. Oba urządzenia są aparatami, które pracują przy bardzo wysokich natężeniach pola magnetycznego (odpowiednio 1,5 oraz 3T), które powstaje przy wykorzystaniu nadprzewodzącego magnesu chłodzonego </w:t>
      </w:r>
      <w:r w:rsidR="00B65837" w:rsidRPr="00B65837">
        <w:rPr>
          <w:rFonts w:ascii="Garamond" w:eastAsia="Times New Roman" w:hAnsi="Garamond" w:cstheme="minorHAnsi"/>
          <w:lang w:eastAsia="pl-PL"/>
        </w:rPr>
        <w:t>ciekłym helem. Prace związane z </w:t>
      </w:r>
      <w:r w:rsidRPr="00B65837">
        <w:rPr>
          <w:rFonts w:ascii="Garamond" w:eastAsia="Times New Roman" w:hAnsi="Garamond" w:cstheme="minorHAnsi"/>
          <w:lang w:eastAsia="pl-PL"/>
        </w:rPr>
        <w:t xml:space="preserve">demontażem i instalacją należy prowadzić ze szczególną ostrożnością, gdyż kontakt z ciekłym helem jest niebezpieczny dla zdrowia i życia człowieka oraz organizmów żywych. Konstrukcja aparatów MR pozwala na przebywanie magnesu poza systemem stałego chłodzenia (temperatury rzędu -270 stopni C) najwyżej kilkanaście godzin, co wymusza płynną operację wyprowadzenia i ponownego uruchomienia w nowej lokalizacji już posiadanego aparatu oraz wprowadzenia i uruchomienia nowego aparatu. Przekroczenie wymaganych przez producenta minimalnych okresów odłączenia magnesów nadprzewodzących od źródła chłodzenia (podczas transportu i wprowadzania do pomieszczeń), może prowadzić do podwyższenia wewnętrznej temperatury magnesu i wywołania zjawiska gwałtownego  odparowania helu (tzw. </w:t>
      </w:r>
      <w:proofErr w:type="spellStart"/>
      <w:r w:rsidRPr="00B65837">
        <w:rPr>
          <w:rFonts w:ascii="Garamond" w:eastAsia="Times New Roman" w:hAnsi="Garamond" w:cstheme="minorHAnsi"/>
          <w:lang w:eastAsia="pl-PL"/>
        </w:rPr>
        <w:t>quenchu</w:t>
      </w:r>
      <w:proofErr w:type="spellEnd"/>
      <w:r w:rsidRPr="00B65837">
        <w:rPr>
          <w:rFonts w:ascii="Garamond" w:eastAsia="Times New Roman" w:hAnsi="Garamond" w:cstheme="minorHAnsi"/>
          <w:lang w:eastAsia="pl-PL"/>
        </w:rPr>
        <w:t xml:space="preserve"> magnesu), w wyniku którego tracone są całe zasoby ciekłego helu. Jest to zjawisko nagłe, a przez to niebezpieczne dla osób przebywających w pobliżu. Pociąga też bardzo znaczne koszty przekraczające 100 tys. zł. na każdy aparat. Ponadto, </w:t>
      </w:r>
      <w:proofErr w:type="spellStart"/>
      <w:r w:rsidRPr="00B65837">
        <w:rPr>
          <w:rFonts w:ascii="Garamond" w:eastAsia="Times New Roman" w:hAnsi="Garamond" w:cstheme="minorHAnsi"/>
          <w:lang w:eastAsia="pl-PL"/>
        </w:rPr>
        <w:t>quench</w:t>
      </w:r>
      <w:proofErr w:type="spellEnd"/>
      <w:r w:rsidRPr="00B65837">
        <w:rPr>
          <w:rFonts w:ascii="Garamond" w:eastAsia="Times New Roman" w:hAnsi="Garamond" w:cstheme="minorHAnsi"/>
          <w:lang w:eastAsia="pl-PL"/>
        </w:rPr>
        <w:t xml:space="preserve"> magnesu może doprowadzić do wewnętrznego oblodzenia komór helowych i cewki nadprzewodzącej (w chwili zaciągnięcia powietrza atmosferycznego po zakończeniu erupcji par helu), co dodatkowo zwiększa koszty, a nawet może doprowadzić do całkowitego uszkodzenia magnesu. Wówczas koszty, związane z wymianą magnesu, mogę być liczone w milionach złotych.  </w:t>
      </w:r>
    </w:p>
    <w:p w14:paraId="5F5C1ED7" w14:textId="5974C9E6" w:rsidR="00151E1C" w:rsidRPr="00B65837" w:rsidRDefault="00151E1C"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Opisany wyżej przebieg prac i dostaw zapewni także wysoki poziom integracji obu systemów (tj. nowego urządzenia jak i obecnie posiadanego, które zostanie przeniesione) polegająca m. in. możliwości wymiennego stosowania wybranych akcesoriów (w tym cewek) oraz oprogramowania, istotnego z punktu widzenia kontynuacji czy porównywalności wyników badań</w:t>
      </w:r>
    </w:p>
    <w:p w14:paraId="3AAA3A6D" w14:textId="1E60ECF2" w:rsidR="00B4512E" w:rsidRPr="00B65837" w:rsidRDefault="00B4512E" w:rsidP="00B4512E">
      <w:pPr>
        <w:spacing w:before="100" w:beforeAutospacing="1" w:after="100" w:afterAutospacing="1" w:line="288" w:lineRule="auto"/>
        <w:ind w:firstLine="919"/>
        <w:jc w:val="both"/>
        <w:rPr>
          <w:rFonts w:ascii="Garamond" w:eastAsia="Times New Roman" w:hAnsi="Garamond" w:cstheme="minorHAnsi"/>
          <w:lang w:eastAsia="pl-PL"/>
        </w:rPr>
      </w:pPr>
      <w:r w:rsidRPr="00B65837">
        <w:rPr>
          <w:rFonts w:ascii="Garamond" w:eastAsia="Times New Roman" w:hAnsi="Garamond" w:cstheme="minorHAnsi"/>
          <w:lang w:eastAsia="pl-PL"/>
        </w:rPr>
        <w:t xml:space="preserve">W związku z powyższym tego typu inwestycje realizuje się jako kompleksowe, co zapewnia odpowiedzialność po stronie jednego generalnego wykonawcy, bez rozmywania jej na dwóch lub więcej wykonawców różnych elementów inwestycji w przypadku wystąpienia sytuacji awaryjnej. Ponadto hipotetyczne rozdzielenie tego typu zadania na dwie lub więcej części mogło by skutkować powstaniem dodatkowych prac i kosztów z uwagi na dostosowywanie pomieszczeń i instalacji pod konkretny wyrób, co w przypadku inwestycji kompleksowej nie występuje, gdyż generalny wykonawca przeprowadza prace ściśle według zaleceń producenta danego aparatu, który oferuje. Brak podziału na części zapewnia też jednoczasową realizację tych czynności bez ryzyka niegospodarności sprokurowanych przez </w:t>
      </w:r>
      <w:r w:rsidR="00B65837" w:rsidRPr="00B65837">
        <w:rPr>
          <w:rFonts w:ascii="Garamond" w:eastAsia="Times New Roman" w:hAnsi="Garamond" w:cstheme="minorHAnsi"/>
          <w:lang w:eastAsia="pl-PL"/>
        </w:rPr>
        <w:t>brak jednego z </w:t>
      </w:r>
      <w:r w:rsidRPr="00B65837">
        <w:rPr>
          <w:rFonts w:ascii="Garamond" w:eastAsia="Times New Roman" w:hAnsi="Garamond" w:cstheme="minorHAnsi"/>
          <w:lang w:eastAsia="pl-PL"/>
        </w:rPr>
        <w:t>istotnych elementów (np. brak aparatu przy wykończonym już pomieszczeniu, lub odwrotnie - dostawa aparatu mimo braku przygotowanego pomieszczenia).</w:t>
      </w:r>
      <w:r w:rsidR="0020267F" w:rsidRPr="00B65837">
        <w:rPr>
          <w:rFonts w:ascii="Garamond" w:eastAsia="Times New Roman" w:hAnsi="Garamond" w:cstheme="minorHAnsi"/>
          <w:lang w:eastAsia="pl-PL"/>
        </w:rPr>
        <w:t xml:space="preserve"> Kompleksowa i płynna wymiana wyposażenia MR </w:t>
      </w:r>
      <w:r w:rsidR="00090140" w:rsidRPr="00B65837">
        <w:rPr>
          <w:rFonts w:ascii="Garamond" w:eastAsia="Times New Roman" w:hAnsi="Garamond" w:cstheme="minorHAnsi"/>
          <w:lang w:eastAsia="pl-PL"/>
        </w:rPr>
        <w:t>pozwoli na uniknięcie dezorganizacji pracy Szpitala w obrębie jednostek, które pozostały na ul. Kopernika (m. in. OK Onkologii, Hematologii, zespół klinik ginekologiczno-położniczych), które w ten sposób zostaną zabezpieczone pod kątem zaawansowanej diagnostyki MR.</w:t>
      </w:r>
    </w:p>
    <w:p w14:paraId="2D14506F" w14:textId="37BE961D" w:rsidR="00CA0F52" w:rsidRPr="00B65837" w:rsidRDefault="00CA0F52" w:rsidP="00CA0F52">
      <w:pPr>
        <w:spacing w:before="100" w:beforeAutospacing="1" w:after="100" w:afterAutospacing="1" w:line="288" w:lineRule="auto"/>
        <w:ind w:firstLine="919"/>
        <w:jc w:val="both"/>
        <w:rPr>
          <w:rFonts w:ascii="Garamond" w:hAnsi="Garamond" w:cstheme="minorHAnsi"/>
        </w:rPr>
      </w:pPr>
      <w:r w:rsidRPr="00B65837">
        <w:rPr>
          <w:rFonts w:ascii="Garamond" w:eastAsia="Times New Roman" w:hAnsi="Garamond" w:cstheme="minorHAnsi"/>
          <w:lang w:eastAsia="pl-PL"/>
        </w:rPr>
        <w:t xml:space="preserve">Konkludując, Dział Aparatury Medycznej </w:t>
      </w:r>
      <w:r w:rsidRPr="00B65837">
        <w:rPr>
          <w:rFonts w:ascii="Garamond" w:hAnsi="Garamond" w:cstheme="minorHAnsi"/>
        </w:rPr>
        <w:t>potwierdza, że zamówienie nie może być podzielone na części lecz winno być realizowane jako jedno zadanie logistyczno-techniczne przez jednego wykonawcę wyłonionego drogą postępowania o zamówienie publiczne.</w:t>
      </w:r>
    </w:p>
    <w:p w14:paraId="1E6F40C4" w14:textId="77777777" w:rsidR="00CA0F52" w:rsidRDefault="00CA0F52" w:rsidP="00B4512E">
      <w:pPr>
        <w:spacing w:before="100" w:beforeAutospacing="1" w:after="100" w:afterAutospacing="1" w:line="288" w:lineRule="auto"/>
        <w:ind w:firstLine="919"/>
        <w:jc w:val="both"/>
        <w:rPr>
          <w:rFonts w:asciiTheme="minorHAnsi" w:eastAsia="Times New Roman" w:hAnsiTheme="minorHAnsi" w:cstheme="minorHAnsi"/>
          <w:lang w:eastAsia="pl-PL"/>
        </w:rPr>
      </w:pPr>
    </w:p>
    <w:p w14:paraId="1B152F74" w14:textId="6E25D5AD" w:rsidR="000F15DB" w:rsidRPr="00B4512E" w:rsidRDefault="000F15DB">
      <w:pPr>
        <w:rPr>
          <w:rFonts w:asciiTheme="minorHAnsi" w:hAnsiTheme="minorHAnsi" w:cstheme="minorHAnsi"/>
        </w:rPr>
      </w:pPr>
      <w:bookmarkStart w:id="0" w:name="_GoBack"/>
      <w:bookmarkEnd w:id="0"/>
    </w:p>
    <w:sectPr w:rsidR="000F15DB" w:rsidRPr="00B4512E" w:rsidSect="00D74420">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CDA4" w14:textId="77777777" w:rsidR="004F45BE" w:rsidRDefault="004F45BE" w:rsidP="002274F4">
      <w:pPr>
        <w:spacing w:after="0" w:line="240" w:lineRule="auto"/>
      </w:pPr>
      <w:r>
        <w:separator/>
      </w:r>
    </w:p>
  </w:endnote>
  <w:endnote w:type="continuationSeparator" w:id="0">
    <w:p w14:paraId="019C7D72" w14:textId="77777777" w:rsidR="004F45BE" w:rsidRDefault="004F45BE" w:rsidP="0022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37B1" w14:textId="77777777" w:rsidR="002274F4" w:rsidRPr="00412B1C" w:rsidRDefault="002274F4" w:rsidP="002274F4">
    <w:pPr>
      <w:pStyle w:val="Stopka"/>
      <w:ind w:left="-567"/>
      <w:jc w:val="center"/>
      <w:rPr>
        <w:rFonts w:ascii="Adobe Garamond Pro" w:hAnsi="Adobe Garamond Pro"/>
        <w:color w:val="B5123E"/>
        <w:sz w:val="24"/>
      </w:rPr>
    </w:pPr>
    <w:r w:rsidRPr="00412B1C">
      <w:rPr>
        <w:rFonts w:ascii="Adobe Garamond Pro" w:hAnsi="Adobe Garamond Pro"/>
        <w:color w:val="B5123E"/>
        <w:sz w:val="24"/>
      </w:rPr>
      <w:t xml:space="preserve">PL 31-501 Kraków, ul. </w:t>
    </w:r>
    <w:r>
      <w:rPr>
        <w:rFonts w:ascii="Adobe Garamond Pro" w:hAnsi="Adobe Garamond Pro"/>
        <w:color w:val="B5123E"/>
        <w:sz w:val="24"/>
      </w:rPr>
      <w:t xml:space="preserve">Mikołaja Kopernika 36, </w:t>
    </w:r>
    <w:r>
      <w:rPr>
        <w:rFonts w:ascii="Adobe Garamond Pro" w:hAnsi="Adobe Garamond Pro"/>
        <w:color w:val="B5123E"/>
        <w:sz w:val="24"/>
      </w:rPr>
      <w:br/>
    </w:r>
    <w:r w:rsidRPr="00412B1C">
      <w:rPr>
        <w:rFonts w:ascii="Adobe Garamond Pro" w:hAnsi="Adobe Garamond Pro"/>
        <w:color w:val="B5123E"/>
        <w:sz w:val="24"/>
      </w:rPr>
      <w:t>tel. +(48) 12 424 70 01, fax. +(48) 12 424 74 87</w:t>
    </w:r>
    <w:r w:rsidRPr="00412B1C">
      <w:rPr>
        <w:rFonts w:ascii="Adobe Garamond Pro" w:hAnsi="Adobe Garamond Pro"/>
        <w:color w:val="B5123E"/>
        <w:sz w:val="24"/>
      </w:rPr>
      <w:br/>
      <w:t>www.su.krakow.pl</w:t>
    </w:r>
  </w:p>
  <w:p w14:paraId="3BA84C61" w14:textId="77777777" w:rsidR="002274F4" w:rsidRDefault="0022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5043" w14:textId="77777777" w:rsidR="004F45BE" w:rsidRDefault="004F45BE" w:rsidP="002274F4">
      <w:pPr>
        <w:spacing w:after="0" w:line="240" w:lineRule="auto"/>
      </w:pPr>
      <w:r>
        <w:separator/>
      </w:r>
    </w:p>
  </w:footnote>
  <w:footnote w:type="continuationSeparator" w:id="0">
    <w:p w14:paraId="72580668" w14:textId="77777777" w:rsidR="004F45BE" w:rsidRDefault="004F45BE" w:rsidP="0022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B002" w14:textId="77777777" w:rsidR="002274F4" w:rsidRDefault="002274F4" w:rsidP="002274F4">
    <w:pPr>
      <w:pStyle w:val="Nagwek"/>
      <w:jc w:val="center"/>
    </w:pPr>
    <w:r>
      <w:rPr>
        <w:noProof/>
        <w:lang w:eastAsia="pl-PL"/>
      </w:rPr>
      <w:drawing>
        <wp:inline distT="0" distB="0" distL="0" distR="0" wp14:anchorId="45CFB182" wp14:editId="4BD99FE4">
          <wp:extent cx="1693545" cy="930275"/>
          <wp:effectExtent l="0" t="0" r="1905" b="3175"/>
          <wp:docPr id="5" name="Obraz 5" descr="logo_n255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55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3403"/>
    <w:multiLevelType w:val="hybridMultilevel"/>
    <w:tmpl w:val="4FD03BFE"/>
    <w:lvl w:ilvl="0" w:tplc="E5987A7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7F061AA">
      <w:start w:val="1"/>
      <w:numFmt w:val="bullet"/>
      <w:lvlText w:val="o"/>
      <w:lvlJc w:val="left"/>
      <w:pPr>
        <w:ind w:left="15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D03B82">
      <w:start w:val="1"/>
      <w:numFmt w:val="bullet"/>
      <w:lvlText w:val="▪"/>
      <w:lvlJc w:val="left"/>
      <w:pPr>
        <w:ind w:left="22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456CD94">
      <w:start w:val="1"/>
      <w:numFmt w:val="bullet"/>
      <w:lvlText w:val="•"/>
      <w:lvlJc w:val="left"/>
      <w:pPr>
        <w:ind w:left="29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C4E4D2C">
      <w:start w:val="1"/>
      <w:numFmt w:val="bullet"/>
      <w:lvlText w:val="o"/>
      <w:lvlJc w:val="left"/>
      <w:pPr>
        <w:ind w:left="36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3E0D436">
      <w:start w:val="1"/>
      <w:numFmt w:val="bullet"/>
      <w:lvlText w:val="▪"/>
      <w:lvlJc w:val="left"/>
      <w:pPr>
        <w:ind w:left="44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ADCEC6A">
      <w:start w:val="1"/>
      <w:numFmt w:val="bullet"/>
      <w:lvlText w:val="•"/>
      <w:lvlJc w:val="left"/>
      <w:pPr>
        <w:ind w:left="51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38F928">
      <w:start w:val="1"/>
      <w:numFmt w:val="bullet"/>
      <w:lvlText w:val="o"/>
      <w:lvlJc w:val="left"/>
      <w:pPr>
        <w:ind w:left="58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458FA0A">
      <w:start w:val="1"/>
      <w:numFmt w:val="bullet"/>
      <w:lvlText w:val="▪"/>
      <w:lvlJc w:val="left"/>
      <w:pPr>
        <w:ind w:left="65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E6"/>
    <w:rsid w:val="00090140"/>
    <w:rsid w:val="000F15DB"/>
    <w:rsid w:val="00151E1C"/>
    <w:rsid w:val="0020267F"/>
    <w:rsid w:val="002071C9"/>
    <w:rsid w:val="002274F4"/>
    <w:rsid w:val="00227F73"/>
    <w:rsid w:val="0034292D"/>
    <w:rsid w:val="004B55C2"/>
    <w:rsid w:val="004F45BE"/>
    <w:rsid w:val="00525AE6"/>
    <w:rsid w:val="005B140F"/>
    <w:rsid w:val="006403F1"/>
    <w:rsid w:val="00645CEA"/>
    <w:rsid w:val="00821FA2"/>
    <w:rsid w:val="0086670A"/>
    <w:rsid w:val="008B1768"/>
    <w:rsid w:val="008F167C"/>
    <w:rsid w:val="00B01E73"/>
    <w:rsid w:val="00B0742A"/>
    <w:rsid w:val="00B4512E"/>
    <w:rsid w:val="00B64B52"/>
    <w:rsid w:val="00B65837"/>
    <w:rsid w:val="00C83F7C"/>
    <w:rsid w:val="00CA0F52"/>
    <w:rsid w:val="00D74420"/>
    <w:rsid w:val="00E972CB"/>
    <w:rsid w:val="00EB6170"/>
    <w:rsid w:val="00F6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5A64"/>
  <w15:chartTrackingRefBased/>
  <w15:docId w15:val="{9143BC55-9093-44E8-B125-DF36C5FF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40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5B140F"/>
  </w:style>
  <w:style w:type="paragraph" w:styleId="Akapitzlist">
    <w:name w:val="List Paragraph"/>
    <w:basedOn w:val="Normalny"/>
    <w:link w:val="AkapitzlistZnak"/>
    <w:uiPriority w:val="34"/>
    <w:qFormat/>
    <w:rsid w:val="005B140F"/>
    <w:pPr>
      <w:ind w:left="720"/>
      <w:contextualSpacing/>
    </w:pPr>
    <w:rPr>
      <w:rFonts w:asciiTheme="minorHAnsi" w:eastAsiaTheme="minorHAnsi" w:hAnsiTheme="minorHAnsi" w:cstheme="minorBidi"/>
    </w:rPr>
  </w:style>
  <w:style w:type="character" w:styleId="Uwydatnienie">
    <w:name w:val="Emphasis"/>
    <w:basedOn w:val="Domylnaczcionkaakapitu"/>
    <w:uiPriority w:val="20"/>
    <w:qFormat/>
    <w:rsid w:val="005B140F"/>
    <w:rPr>
      <w:i/>
      <w:iCs/>
    </w:rPr>
  </w:style>
  <w:style w:type="paragraph" w:styleId="Nagwek">
    <w:name w:val="header"/>
    <w:basedOn w:val="Normalny"/>
    <w:link w:val="NagwekZnak"/>
    <w:uiPriority w:val="99"/>
    <w:unhideWhenUsed/>
    <w:rsid w:val="00227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4F4"/>
    <w:rPr>
      <w:rFonts w:ascii="Calibri" w:eastAsia="Calibri" w:hAnsi="Calibri" w:cs="Times New Roman"/>
    </w:rPr>
  </w:style>
  <w:style w:type="paragraph" w:styleId="Stopka">
    <w:name w:val="footer"/>
    <w:basedOn w:val="Normalny"/>
    <w:link w:val="StopkaZnak"/>
    <w:uiPriority w:val="99"/>
    <w:unhideWhenUsed/>
    <w:rsid w:val="00227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4F4"/>
    <w:rPr>
      <w:rFonts w:ascii="Calibri" w:eastAsia="Calibri" w:hAnsi="Calibri" w:cs="Times New Roman"/>
    </w:rPr>
  </w:style>
  <w:style w:type="character" w:styleId="Odwoaniedokomentarza">
    <w:name w:val="annotation reference"/>
    <w:basedOn w:val="Domylnaczcionkaakapitu"/>
    <w:uiPriority w:val="99"/>
    <w:semiHidden/>
    <w:unhideWhenUsed/>
    <w:rsid w:val="00B01E73"/>
    <w:rPr>
      <w:sz w:val="16"/>
      <w:szCs w:val="16"/>
    </w:rPr>
  </w:style>
  <w:style w:type="paragraph" w:styleId="Tekstkomentarza">
    <w:name w:val="annotation text"/>
    <w:basedOn w:val="Normalny"/>
    <w:link w:val="TekstkomentarzaZnak"/>
    <w:uiPriority w:val="99"/>
    <w:semiHidden/>
    <w:unhideWhenUsed/>
    <w:rsid w:val="00B01E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E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01E73"/>
    <w:rPr>
      <w:b/>
      <w:bCs/>
    </w:rPr>
  </w:style>
  <w:style w:type="character" w:customStyle="1" w:styleId="TematkomentarzaZnak">
    <w:name w:val="Temat komentarza Znak"/>
    <w:basedOn w:val="TekstkomentarzaZnak"/>
    <w:link w:val="Tematkomentarza"/>
    <w:uiPriority w:val="99"/>
    <w:semiHidden/>
    <w:rsid w:val="00B01E7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01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1396</Words>
  <Characters>8378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8</cp:revision>
  <cp:lastPrinted>2022-02-10T07:44:00Z</cp:lastPrinted>
  <dcterms:created xsi:type="dcterms:W3CDTF">2022-03-04T09:30:00Z</dcterms:created>
  <dcterms:modified xsi:type="dcterms:W3CDTF">2022-06-02T06:44:00Z</dcterms:modified>
</cp:coreProperties>
</file>