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9BC94" w14:textId="77777777" w:rsidR="00563CA8" w:rsidRPr="0052785D" w:rsidRDefault="008F45F7" w:rsidP="008F45F7">
      <w:pPr>
        <w:pStyle w:val="Default"/>
        <w:jc w:val="right"/>
        <w:rPr>
          <w:rFonts w:ascii="Arial" w:hAnsi="Arial" w:cs="Arial"/>
          <w:sz w:val="22"/>
        </w:rPr>
      </w:pPr>
      <w:r w:rsidRPr="0052785D">
        <w:rPr>
          <w:rFonts w:ascii="Arial" w:hAnsi="Arial" w:cs="Arial"/>
          <w:sz w:val="22"/>
        </w:rPr>
        <w:t>załącznik nr 2 do umowy</w:t>
      </w:r>
    </w:p>
    <w:p w14:paraId="70E45759" w14:textId="77777777" w:rsidR="008F45F7" w:rsidRDefault="008F45F7">
      <w:pPr>
        <w:pStyle w:val="Default"/>
        <w:rPr>
          <w:b/>
        </w:rPr>
      </w:pPr>
    </w:p>
    <w:p w14:paraId="02F7EC85" w14:textId="77777777" w:rsidR="008F45F7" w:rsidRPr="008F45F7" w:rsidRDefault="008F45F7">
      <w:pPr>
        <w:pStyle w:val="Default"/>
        <w:rPr>
          <w:b/>
        </w:rPr>
      </w:pPr>
    </w:p>
    <w:tbl>
      <w:tblPr>
        <w:tblW w:w="10809" w:type="dxa"/>
        <w:tblInd w:w="-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3"/>
        <w:gridCol w:w="3603"/>
        <w:gridCol w:w="3603"/>
      </w:tblGrid>
      <w:tr w:rsidR="008F45F7" w:rsidRPr="008F45F7" w14:paraId="3D9C9FC5" w14:textId="77777777" w:rsidTr="00C802A5">
        <w:trPr>
          <w:trHeight w:val="366"/>
        </w:trPr>
        <w:tc>
          <w:tcPr>
            <w:tcW w:w="108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94F1A" w14:textId="77777777" w:rsidR="008F45F7" w:rsidRPr="0052785D" w:rsidRDefault="0052785D" w:rsidP="008F45F7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Cs w:val="20"/>
              </w:rPr>
              <w:t>HARMONOGRAM RZECZOWO</w:t>
            </w:r>
            <w:r w:rsidR="008F45F7" w:rsidRPr="0052785D">
              <w:rPr>
                <w:rFonts w:ascii="Arial" w:hAnsi="Arial" w:cs="Arial"/>
                <w:b/>
                <w:szCs w:val="20"/>
              </w:rPr>
              <w:t>–FINANSOWY REALIZACJI PRZEDMIOTU UMOWY</w:t>
            </w:r>
          </w:p>
        </w:tc>
      </w:tr>
      <w:tr w:rsidR="00563CA8" w14:paraId="25B92073" w14:textId="77777777" w:rsidTr="008F45F7">
        <w:trPr>
          <w:trHeight w:val="366"/>
        </w:trPr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A14C5" w14:textId="77777777" w:rsidR="00563CA8" w:rsidRPr="0052785D" w:rsidRDefault="0052785D" w:rsidP="008F45F7">
            <w:pPr>
              <w:pStyle w:val="Default"/>
              <w:jc w:val="center"/>
              <w:rPr>
                <w:rFonts w:ascii="Arial" w:hAnsi="Arial" w:cs="Arial"/>
                <w:sz w:val="28"/>
                <w:szCs w:val="20"/>
              </w:rPr>
            </w:pPr>
            <w:r w:rsidRPr="0052785D">
              <w:rPr>
                <w:rFonts w:ascii="Arial" w:hAnsi="Arial" w:cs="Arial"/>
                <w:b/>
                <w:sz w:val="28"/>
                <w:szCs w:val="20"/>
              </w:rPr>
              <w:t>Rodzaj prac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B98FD" w14:textId="77777777" w:rsidR="00563CA8" w:rsidRPr="0052785D" w:rsidRDefault="0052785D" w:rsidP="008F45F7">
            <w:pPr>
              <w:pStyle w:val="Default"/>
              <w:jc w:val="center"/>
              <w:rPr>
                <w:sz w:val="28"/>
              </w:rPr>
            </w:pPr>
            <w:r w:rsidRPr="0052785D">
              <w:rPr>
                <w:b/>
                <w:sz w:val="28"/>
              </w:rPr>
              <w:t>Termin wykonania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106E" w14:textId="77777777" w:rsidR="00563CA8" w:rsidRPr="0052785D" w:rsidRDefault="0052785D" w:rsidP="008F45F7">
            <w:pPr>
              <w:pStyle w:val="Default"/>
              <w:jc w:val="center"/>
              <w:rPr>
                <w:sz w:val="28"/>
              </w:rPr>
            </w:pPr>
            <w:r w:rsidRPr="0052785D">
              <w:rPr>
                <w:b/>
                <w:sz w:val="28"/>
              </w:rPr>
              <w:t>Wynagrodzenie</w:t>
            </w:r>
          </w:p>
          <w:p w14:paraId="53D822BA" w14:textId="77777777" w:rsidR="00563CA8" w:rsidRPr="0052785D" w:rsidRDefault="0052785D" w:rsidP="008F45F7">
            <w:pPr>
              <w:pStyle w:val="Default"/>
              <w:jc w:val="center"/>
              <w:rPr>
                <w:sz w:val="28"/>
              </w:rPr>
            </w:pPr>
            <w:r w:rsidRPr="0052785D">
              <w:rPr>
                <w:b/>
                <w:sz w:val="28"/>
              </w:rPr>
              <w:t>(w % za dany etap)</w:t>
            </w:r>
          </w:p>
        </w:tc>
      </w:tr>
      <w:tr w:rsidR="00563CA8" w14:paraId="120FA1BC" w14:textId="77777777" w:rsidTr="008F45F7">
        <w:trPr>
          <w:trHeight w:val="1803"/>
        </w:trPr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9E50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>Etap I.</w:t>
            </w:r>
            <w:r w:rsidRPr="0052785D">
              <w:rPr>
                <w:rFonts w:ascii="Arial" w:hAnsi="Arial" w:cs="Arial"/>
                <w:sz w:val="20"/>
                <w:szCs w:val="20"/>
              </w:rPr>
              <w:t xml:space="preserve"> Prace wstępne</w:t>
            </w:r>
          </w:p>
          <w:p w14:paraId="13AC484B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1) analiza materiałów wyjściowych,</w:t>
            </w:r>
          </w:p>
          <w:p w14:paraId="535E27EE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2) analiza stanu zagospodarowania i zabudowy,</w:t>
            </w:r>
          </w:p>
          <w:p w14:paraId="5E2EC8A0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3) analiza uwarunkowań zewnętrznych,</w:t>
            </w:r>
          </w:p>
          <w:p w14:paraId="43D382EF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4) analiza uwarunkowań przestrzennych gminy,</w:t>
            </w:r>
          </w:p>
          <w:p w14:paraId="2452D861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5) opracowanie ekofizjograficzne /ew. aktualizacja (2 egz.),</w:t>
            </w:r>
          </w:p>
          <w:p w14:paraId="1943B4A4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 xml:space="preserve">6) </w:t>
            </w:r>
            <w:r w:rsidRPr="0052785D">
              <w:rPr>
                <w:rFonts w:ascii="Arial" w:hAnsi="Arial" w:cs="Arial"/>
                <w:sz w:val="20"/>
                <w:szCs w:val="20"/>
              </w:rPr>
              <w:t>określenie zapotrzebowania na nową zabudowę mieszkaniową w gminie,</w:t>
            </w:r>
          </w:p>
          <w:p w14:paraId="5575C248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 xml:space="preserve">7) </w:t>
            </w:r>
            <w:r w:rsidRPr="0052785D">
              <w:rPr>
                <w:rFonts w:ascii="Arial" w:hAnsi="Arial" w:cs="Arial"/>
                <w:sz w:val="20"/>
                <w:szCs w:val="20"/>
              </w:rPr>
              <w:t>analiza wniosków zgłoszonych po ogłoszeniu i zawiadomieniu o przystąpieniu do sporządzania planu ogólnego.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28E1" w14:textId="77777777" w:rsidR="00EC6599" w:rsidRDefault="0052785D" w:rsidP="008F45F7">
            <w:pPr>
              <w:pStyle w:val="Default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do 3 miesięcy</w:t>
            </w:r>
            <w:r w:rsidR="00EC6599">
              <w:rPr>
                <w:b/>
                <w:sz w:val="23"/>
              </w:rPr>
              <w:t xml:space="preserve"> </w:t>
            </w:r>
          </w:p>
          <w:p w14:paraId="21AB21AB" w14:textId="0FA69441" w:rsidR="00563CA8" w:rsidRDefault="00EC6599" w:rsidP="008F45F7">
            <w:pPr>
              <w:pStyle w:val="Default"/>
              <w:jc w:val="center"/>
            </w:pPr>
            <w:r>
              <w:rPr>
                <w:b/>
                <w:sz w:val="23"/>
              </w:rPr>
              <w:t>od dnia zawarcia umowy</w:t>
            </w:r>
          </w:p>
        </w:tc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76AF9" w14:textId="77777777" w:rsidR="00563CA8" w:rsidRDefault="0052785D" w:rsidP="008F45F7">
            <w:pPr>
              <w:pStyle w:val="Default"/>
              <w:jc w:val="center"/>
            </w:pPr>
            <w:r>
              <w:rPr>
                <w:b/>
                <w:sz w:val="23"/>
              </w:rPr>
              <w:t>25%</w:t>
            </w:r>
          </w:p>
        </w:tc>
      </w:tr>
      <w:tr w:rsidR="00563CA8" w14:paraId="3287AECE" w14:textId="77777777" w:rsidTr="008F45F7">
        <w:trPr>
          <w:trHeight w:val="2211"/>
        </w:trPr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C6383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>Etap II. Prace planistyczne</w:t>
            </w:r>
          </w:p>
          <w:p w14:paraId="62429DF6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 xml:space="preserve">1) </w:t>
            </w:r>
            <w:r w:rsidRPr="0052785D">
              <w:rPr>
                <w:rFonts w:ascii="Arial" w:hAnsi="Arial" w:cs="Arial"/>
                <w:sz w:val="20"/>
                <w:szCs w:val="20"/>
              </w:rPr>
              <w:t>opracowanie projektu planu ogólnego zgodnie z zakresem wskazanym w ustawie o planowaniu i zagospodarowaniu przestrzennym,</w:t>
            </w:r>
          </w:p>
          <w:p w14:paraId="30B2CC7F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 xml:space="preserve">2) </w:t>
            </w:r>
            <w:r w:rsidRPr="0052785D">
              <w:rPr>
                <w:rFonts w:ascii="Arial" w:hAnsi="Arial" w:cs="Arial"/>
                <w:sz w:val="20"/>
                <w:szCs w:val="20"/>
              </w:rPr>
              <w:t>sporządzenie uzasadnienia składającego się z części tekstowej i graficznej – skala podstawowego rysunku 1:10 000 (1:20 000),</w:t>
            </w:r>
          </w:p>
          <w:p w14:paraId="565BEDB7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 xml:space="preserve">3) </w:t>
            </w:r>
            <w:r w:rsidRPr="0052785D">
              <w:rPr>
                <w:rFonts w:ascii="Arial" w:hAnsi="Arial" w:cs="Arial"/>
                <w:sz w:val="20"/>
                <w:szCs w:val="20"/>
              </w:rPr>
              <w:t>rysunki projektu winny być przekazywane Zamawiającemu w formie wydruków oraz w formie numerycznej dostosowanej do systemu informacji istniejącego u Zamawiającego – pliki wektorowe i rastrowe rysunków na każdym etapie prac powinny być dostarczone w formacie zgodnym z QGIS, *shp lub *.dxf wraz z plikami rastrowymi z georeferencją do układu 1992,</w:t>
            </w:r>
          </w:p>
          <w:p w14:paraId="1FBB6D8F" w14:textId="77777777" w:rsidR="00563CA8" w:rsidRPr="0052785D" w:rsidRDefault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 xml:space="preserve">4) </w:t>
            </w:r>
            <w:r w:rsidRPr="0052785D">
              <w:rPr>
                <w:rFonts w:ascii="Arial" w:hAnsi="Arial" w:cs="Arial"/>
                <w:sz w:val="20"/>
                <w:szCs w:val="20"/>
              </w:rPr>
              <w:t>opracowanie prognozy oddziaływania na środowisko (2 egz.),</w:t>
            </w:r>
          </w:p>
        </w:tc>
        <w:tc>
          <w:tcPr>
            <w:tcW w:w="360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63955" w14:textId="766EC4BA" w:rsidR="00563CA8" w:rsidRDefault="0052785D" w:rsidP="008F45F7">
            <w:pPr>
              <w:pStyle w:val="Default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do </w:t>
            </w:r>
            <w:r w:rsidR="00EC6599">
              <w:rPr>
                <w:b/>
                <w:sz w:val="23"/>
              </w:rPr>
              <w:t>8</w:t>
            </w:r>
            <w:r>
              <w:rPr>
                <w:b/>
                <w:sz w:val="23"/>
              </w:rPr>
              <w:t xml:space="preserve"> miesięcy</w:t>
            </w:r>
          </w:p>
          <w:p w14:paraId="7466C5E3" w14:textId="7A922EB8" w:rsidR="00EC6599" w:rsidRDefault="00EC6599" w:rsidP="008F45F7">
            <w:pPr>
              <w:pStyle w:val="Default"/>
              <w:jc w:val="center"/>
            </w:pPr>
            <w:r>
              <w:rPr>
                <w:b/>
                <w:sz w:val="23"/>
              </w:rPr>
              <w:t>od dnia zawarcia umowy</w:t>
            </w:r>
          </w:p>
        </w:tc>
        <w:tc>
          <w:tcPr>
            <w:tcW w:w="360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2857C" w14:textId="77777777" w:rsidR="00563CA8" w:rsidRDefault="0052785D" w:rsidP="008F45F7">
            <w:pPr>
              <w:pStyle w:val="Default"/>
              <w:jc w:val="center"/>
            </w:pPr>
            <w:r>
              <w:rPr>
                <w:b/>
                <w:sz w:val="23"/>
              </w:rPr>
              <w:t>40%</w:t>
            </w:r>
          </w:p>
        </w:tc>
      </w:tr>
      <w:tr w:rsidR="008F45F7" w14:paraId="3894B21F" w14:textId="77777777" w:rsidTr="0052785D">
        <w:trPr>
          <w:trHeight w:val="2211"/>
        </w:trPr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D6A0" w14:textId="77777777" w:rsidR="008F45F7" w:rsidRPr="0052785D" w:rsidRDefault="008F45F7" w:rsidP="008F45F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 xml:space="preserve">Etap III. </w:t>
            </w:r>
            <w:r w:rsidRPr="0052785D">
              <w:rPr>
                <w:rFonts w:ascii="Arial" w:hAnsi="Arial" w:cs="Arial"/>
                <w:sz w:val="20"/>
                <w:szCs w:val="20"/>
              </w:rPr>
              <w:t>Opiniowanie, uzgadnianie i konsultacje społeczne</w:t>
            </w:r>
          </w:p>
          <w:p w14:paraId="1DBB7E09" w14:textId="77777777" w:rsidR="008F45F7" w:rsidRPr="0052785D" w:rsidRDefault="008F45F7" w:rsidP="008F45F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1) prezentacja i uzyskanie opinii o projekcie od Gminnej Komisji Urbanistyczno-Architektonicznej wraz z wprowadzeniem ewentualnych korekt,</w:t>
            </w:r>
          </w:p>
          <w:p w14:paraId="3CDEE4CE" w14:textId="77777777" w:rsidR="008F45F7" w:rsidRPr="0052785D" w:rsidRDefault="008F45F7" w:rsidP="008F45F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2) przedstawienie projektu do akceptacji Burmistrzowi Kartuz wraz z naniesieniem ewentualnych poprawek,</w:t>
            </w:r>
          </w:p>
          <w:p w14:paraId="4DFC7BE4" w14:textId="77777777" w:rsidR="008F45F7" w:rsidRPr="0052785D" w:rsidRDefault="008F45F7" w:rsidP="008F45F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3) przeprowadzenie pełnej procedury związanej z opiniowaniem i uzgodnieniem projektu,</w:t>
            </w:r>
          </w:p>
          <w:p w14:paraId="6A29B77C" w14:textId="77777777" w:rsidR="008F45F7" w:rsidRPr="0052785D" w:rsidRDefault="008F45F7" w:rsidP="008F45F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 xml:space="preserve">4) przeprowadzenie pełnej procedury związanej z konsultacjami </w:t>
            </w:r>
            <w:r w:rsidRPr="0052785D">
              <w:rPr>
                <w:rFonts w:ascii="Arial" w:hAnsi="Arial" w:cs="Arial"/>
                <w:sz w:val="20"/>
                <w:szCs w:val="20"/>
              </w:rPr>
              <w:lastRenderedPageBreak/>
              <w:t>społecznymi,</w:t>
            </w:r>
          </w:p>
          <w:p w14:paraId="5D711232" w14:textId="77777777" w:rsidR="008F45F7" w:rsidRPr="0052785D" w:rsidRDefault="008F45F7" w:rsidP="008F45F7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5) opracowanie raportu podsumowującego przebieg konsultacji społecznych, zawierającego w szczególności wykaz zgłoszonych uwag wraz z propozycją ich rozpatrzenia i uzasadnieniem oraz protokoły z czynności przeprowadzonych w ramach konsultacji.</w:t>
            </w:r>
          </w:p>
        </w:tc>
        <w:tc>
          <w:tcPr>
            <w:tcW w:w="360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BFE29" w14:textId="26885092" w:rsidR="008F45F7" w:rsidRDefault="0052785D" w:rsidP="0052785D">
            <w:pPr>
              <w:pStyle w:val="Default"/>
              <w:jc w:val="center"/>
              <w:rPr>
                <w:b/>
                <w:sz w:val="23"/>
              </w:rPr>
            </w:pPr>
            <w:r w:rsidRPr="0052785D">
              <w:rPr>
                <w:b/>
                <w:sz w:val="23"/>
              </w:rPr>
              <w:lastRenderedPageBreak/>
              <w:t xml:space="preserve">do </w:t>
            </w:r>
            <w:r w:rsidR="00EC6599">
              <w:rPr>
                <w:b/>
                <w:sz w:val="23"/>
              </w:rPr>
              <w:t>13</w:t>
            </w:r>
            <w:r w:rsidRPr="0052785D">
              <w:rPr>
                <w:b/>
                <w:sz w:val="23"/>
              </w:rPr>
              <w:t xml:space="preserve"> </w:t>
            </w:r>
            <w:r w:rsidR="00EC6599">
              <w:rPr>
                <w:b/>
                <w:sz w:val="23"/>
              </w:rPr>
              <w:t>miesięcy</w:t>
            </w:r>
          </w:p>
          <w:p w14:paraId="55D3F58F" w14:textId="06321981" w:rsidR="00EC6599" w:rsidRDefault="00EC6599" w:rsidP="0052785D">
            <w:pPr>
              <w:pStyle w:val="Default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od dnia zawarcia umowy</w:t>
            </w:r>
          </w:p>
        </w:tc>
        <w:tc>
          <w:tcPr>
            <w:tcW w:w="360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05048" w14:textId="77777777" w:rsidR="008F45F7" w:rsidRDefault="0052785D" w:rsidP="0052785D">
            <w:pPr>
              <w:pStyle w:val="Default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15%</w:t>
            </w:r>
          </w:p>
        </w:tc>
      </w:tr>
      <w:tr w:rsidR="0052785D" w:rsidRPr="0052785D" w14:paraId="0CE07A47" w14:textId="77777777" w:rsidTr="0052785D">
        <w:trPr>
          <w:trHeight w:val="2211"/>
        </w:trPr>
        <w:tc>
          <w:tcPr>
            <w:tcW w:w="36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328B" w14:textId="77777777" w:rsidR="0052785D" w:rsidRPr="0052785D" w:rsidRDefault="0052785D" w:rsidP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b/>
                <w:sz w:val="20"/>
                <w:szCs w:val="20"/>
              </w:rPr>
              <w:t>Etap IV.</w:t>
            </w:r>
            <w:r w:rsidRPr="0052785D">
              <w:rPr>
                <w:rFonts w:ascii="Arial" w:hAnsi="Arial" w:cs="Arial"/>
                <w:sz w:val="20"/>
                <w:szCs w:val="20"/>
              </w:rPr>
              <w:t xml:space="preserve"> Uchwalenie i zakończenie prac</w:t>
            </w:r>
          </w:p>
          <w:p w14:paraId="0CD9CBD3" w14:textId="77777777" w:rsidR="0052785D" w:rsidRPr="0052785D" w:rsidRDefault="0052785D" w:rsidP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1) przedstawienie projektu wraz z uzasadnieniem i raportem podsumowującym przebieg konsultacji społecznych do akceptacji Burmistrzowi Kartuz (w tym przekazanie 1 kpl. wydruków rysunków planu ogólnego w skali oryginalnej),</w:t>
            </w:r>
          </w:p>
          <w:p w14:paraId="1A6D2284" w14:textId="77777777" w:rsidR="0052785D" w:rsidRPr="0052785D" w:rsidRDefault="0052785D" w:rsidP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2) przygotowanie prezentacji projektu planu ogólnego,</w:t>
            </w:r>
          </w:p>
          <w:p w14:paraId="67D1D2A8" w14:textId="77777777" w:rsidR="0052785D" w:rsidRPr="0052785D" w:rsidRDefault="0052785D" w:rsidP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3) uczestniczenie w prezentacjach projektu na posiedzeniu poszczególnych Komisji oraz sesji Rady Miejskiej w Kartuzach</w:t>
            </w:r>
          </w:p>
          <w:p w14:paraId="778B536A" w14:textId="77777777" w:rsidR="0052785D" w:rsidRPr="0052785D" w:rsidRDefault="0052785D" w:rsidP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4) opracowanie uzasadnienia oraz podsumowania, o których mowa w art.42 pkt 2 i art.55 ust.3 ustawy z dnia 3 października 2008 r. o udostępnieniu informacji o środowisku i jego ochronie, udziale społeczeństwa w ochronie środowiska oraz o ocenach oddziaływania na środowisko (Dz.U. z 2023 r. poz.1094, z późn. zm.),</w:t>
            </w:r>
          </w:p>
          <w:p w14:paraId="370C084A" w14:textId="77777777" w:rsidR="0052785D" w:rsidRPr="0052785D" w:rsidRDefault="0052785D" w:rsidP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5) ostateczne przekazanie całości opracowania, w tym 4 kpl. wydruków rysunków w skali oryginalnej,</w:t>
            </w:r>
          </w:p>
          <w:p w14:paraId="63A6BF3F" w14:textId="77777777" w:rsidR="0052785D" w:rsidRPr="0052785D" w:rsidRDefault="0052785D" w:rsidP="0052785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785D">
              <w:rPr>
                <w:rFonts w:ascii="Arial" w:hAnsi="Arial" w:cs="Arial"/>
                <w:sz w:val="20"/>
                <w:szCs w:val="20"/>
              </w:rPr>
              <w:t>6) przekazanie tekstu oraz rysunków Planu Ogólnego w formie numerycznej dostosowanej do systemu informacji istniejącego u Zamawiającego – pliki wektorowe i rastrowe rysunków powinny być dostarczone w formacie zgodnym z QGIS, *shp lub *.dxf wraz z plikami rastrowymi z georeferencją do układu 1992.</w:t>
            </w:r>
          </w:p>
        </w:tc>
        <w:tc>
          <w:tcPr>
            <w:tcW w:w="360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64445" w14:textId="69C873A6" w:rsidR="00EC6599" w:rsidRDefault="00EC6599" w:rsidP="00EC6599">
            <w:pPr>
              <w:pStyle w:val="Default"/>
              <w:jc w:val="center"/>
              <w:rPr>
                <w:b/>
                <w:sz w:val="23"/>
              </w:rPr>
            </w:pPr>
            <w:r w:rsidRPr="0052785D">
              <w:rPr>
                <w:b/>
                <w:sz w:val="23"/>
              </w:rPr>
              <w:t xml:space="preserve">do </w:t>
            </w:r>
            <w:r>
              <w:rPr>
                <w:b/>
                <w:sz w:val="23"/>
              </w:rPr>
              <w:t>1</w:t>
            </w:r>
            <w:r>
              <w:rPr>
                <w:b/>
                <w:sz w:val="23"/>
              </w:rPr>
              <w:t>5</w:t>
            </w:r>
            <w:r w:rsidRPr="0052785D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miesięcy</w:t>
            </w:r>
          </w:p>
          <w:p w14:paraId="0F03AEDA" w14:textId="632EEB8F" w:rsidR="00EC6599" w:rsidRPr="0052785D" w:rsidRDefault="00EC6599" w:rsidP="00EC6599">
            <w:pPr>
              <w:pStyle w:val="Default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od dnia zawarcia umowy</w:t>
            </w:r>
            <w:r w:rsidRPr="0052785D">
              <w:rPr>
                <w:b/>
                <w:sz w:val="23"/>
              </w:rPr>
              <w:t xml:space="preserve"> </w:t>
            </w:r>
          </w:p>
        </w:tc>
        <w:tc>
          <w:tcPr>
            <w:tcW w:w="360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A84E" w14:textId="77777777" w:rsidR="0052785D" w:rsidRPr="0052785D" w:rsidRDefault="0052785D" w:rsidP="0052785D">
            <w:pPr>
              <w:pStyle w:val="Default"/>
              <w:jc w:val="center"/>
              <w:rPr>
                <w:b/>
                <w:sz w:val="23"/>
              </w:rPr>
            </w:pPr>
            <w:r w:rsidRPr="0052785D">
              <w:rPr>
                <w:b/>
                <w:sz w:val="23"/>
              </w:rPr>
              <w:t>20%</w:t>
            </w:r>
          </w:p>
        </w:tc>
      </w:tr>
    </w:tbl>
    <w:p w14:paraId="1ABFA347" w14:textId="77777777" w:rsidR="00563CA8" w:rsidRPr="0052785D" w:rsidRDefault="00563CA8">
      <w:pPr>
        <w:pStyle w:val="Default"/>
        <w:rPr>
          <w:sz w:val="23"/>
        </w:rPr>
      </w:pPr>
    </w:p>
    <w:sectPr w:rsidR="00563CA8" w:rsidRPr="0052785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4D78C" w14:textId="77777777" w:rsidR="002860D8" w:rsidRDefault="002860D8">
      <w:r>
        <w:separator/>
      </w:r>
    </w:p>
  </w:endnote>
  <w:endnote w:type="continuationSeparator" w:id="0">
    <w:p w14:paraId="23B60EEC" w14:textId="77777777" w:rsidR="002860D8" w:rsidRDefault="0028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7492A" w14:textId="77777777" w:rsidR="002860D8" w:rsidRDefault="002860D8">
      <w:r>
        <w:separator/>
      </w:r>
    </w:p>
  </w:footnote>
  <w:footnote w:type="continuationSeparator" w:id="0">
    <w:p w14:paraId="056B8DAD" w14:textId="77777777" w:rsidR="002860D8" w:rsidRDefault="00286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E1734"/>
    <w:multiLevelType w:val="multilevel"/>
    <w:tmpl w:val="ACEC65DE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8BA739B"/>
    <w:multiLevelType w:val="multilevel"/>
    <w:tmpl w:val="C590E2D0"/>
    <w:styleLink w:val="WWNum2a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42BA0A15"/>
    <w:multiLevelType w:val="multilevel"/>
    <w:tmpl w:val="ED2C5828"/>
    <w:styleLink w:val="WWNum1a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CAF07B5"/>
    <w:multiLevelType w:val="multilevel"/>
    <w:tmpl w:val="94D6587A"/>
    <w:styleLink w:val="WWNum1aa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5FAD43B3"/>
    <w:multiLevelType w:val="multilevel"/>
    <w:tmpl w:val="FE742EB2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67033D9E"/>
    <w:multiLevelType w:val="multilevel"/>
    <w:tmpl w:val="2CE2236E"/>
    <w:styleLink w:val="WWNum3a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73303C6F"/>
    <w:multiLevelType w:val="multilevel"/>
    <w:tmpl w:val="4AFE7C04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845941235">
    <w:abstractNumId w:val="4"/>
  </w:num>
  <w:num w:numId="2" w16cid:durableId="1180461082">
    <w:abstractNumId w:val="6"/>
  </w:num>
  <w:num w:numId="3" w16cid:durableId="253561048">
    <w:abstractNumId w:val="0"/>
  </w:num>
  <w:num w:numId="4" w16cid:durableId="1180854764">
    <w:abstractNumId w:val="2"/>
  </w:num>
  <w:num w:numId="5" w16cid:durableId="970794108">
    <w:abstractNumId w:val="1"/>
  </w:num>
  <w:num w:numId="6" w16cid:durableId="1183127746">
    <w:abstractNumId w:val="5"/>
  </w:num>
  <w:num w:numId="7" w16cid:durableId="1462847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3CA8"/>
    <w:rsid w:val="002860D8"/>
    <w:rsid w:val="00401BFF"/>
    <w:rsid w:val="0052785D"/>
    <w:rsid w:val="00563CA8"/>
    <w:rsid w:val="008F45F7"/>
    <w:rsid w:val="00EC6599"/>
    <w:rsid w:val="00FA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9ED5"/>
  <w15:docId w15:val="{A2D70435-9232-43DA-B089-D3639196E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Default">
    <w:name w:val="Default"/>
    <w:rPr>
      <w:rFonts w:ascii="Cambria" w:hAnsi="Cambri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1a">
    <w:name w:val="WWNum1a"/>
    <w:basedOn w:val="Bezlisty"/>
    <w:pPr>
      <w:numPr>
        <w:numId w:val="4"/>
      </w:numPr>
    </w:pPr>
  </w:style>
  <w:style w:type="numbering" w:customStyle="1" w:styleId="WWNum2a">
    <w:name w:val="WWNum2a"/>
    <w:basedOn w:val="Bezlisty"/>
    <w:pPr>
      <w:numPr>
        <w:numId w:val="5"/>
      </w:numPr>
    </w:pPr>
  </w:style>
  <w:style w:type="numbering" w:customStyle="1" w:styleId="WWNum3a">
    <w:name w:val="WWNum3a"/>
    <w:basedOn w:val="Bezlisty"/>
    <w:pPr>
      <w:numPr>
        <w:numId w:val="6"/>
      </w:numPr>
    </w:pPr>
  </w:style>
  <w:style w:type="numbering" w:customStyle="1" w:styleId="WWNum1aa">
    <w:name w:val="WWNum1aa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AnnaM_P106</dc:creator>
  <cp:lastModifiedBy>k.keller</cp:lastModifiedBy>
  <cp:revision>3</cp:revision>
  <dcterms:created xsi:type="dcterms:W3CDTF">2024-04-29T11:00:00Z</dcterms:created>
  <dcterms:modified xsi:type="dcterms:W3CDTF">2024-09-18T13:37:00Z</dcterms:modified>
</cp:coreProperties>
</file>