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B5735" w14:textId="77777777" w:rsidR="00B32716" w:rsidRDefault="00B32716" w:rsidP="008E037E">
      <w:pPr>
        <w:spacing w:after="0"/>
        <w:jc w:val="center"/>
        <w:rPr>
          <w:rFonts w:ascii="Garamond" w:hAnsi="Garamond" w:cs="Times New Roman"/>
          <w:b/>
        </w:rPr>
      </w:pPr>
    </w:p>
    <w:p w14:paraId="15A9D6DB" w14:textId="4BBD65F1" w:rsidR="008E037E" w:rsidRDefault="008E037E" w:rsidP="008E037E">
      <w:pPr>
        <w:spacing w:after="0"/>
        <w:jc w:val="center"/>
        <w:rPr>
          <w:rFonts w:ascii="Garamond" w:hAnsi="Garamond" w:cs="Times New Roman"/>
          <w:b/>
        </w:rPr>
      </w:pPr>
      <w:r w:rsidRPr="00566F35">
        <w:rPr>
          <w:rFonts w:ascii="Garamond" w:hAnsi="Garamond" w:cs="Times New Roman"/>
          <w:b/>
        </w:rPr>
        <w:t>Wymagania graniczne (opis przedmiotu zamówienia)</w:t>
      </w:r>
    </w:p>
    <w:p w14:paraId="3BFCB8A6" w14:textId="017B2CBB" w:rsidR="00B32716" w:rsidRPr="00F54EEC" w:rsidRDefault="00B32716" w:rsidP="008E037E">
      <w:pPr>
        <w:spacing w:after="0"/>
        <w:jc w:val="center"/>
        <w:rPr>
          <w:rFonts w:ascii="Garamond" w:hAnsi="Garamond" w:cs="Times New Roman"/>
          <w:b/>
        </w:rPr>
      </w:pPr>
      <w:r w:rsidRPr="00F54EEC">
        <w:rPr>
          <w:rFonts w:ascii="Garamond" w:hAnsi="Garamond" w:cs="Times New Roman"/>
          <w:b/>
        </w:rPr>
        <w:t>dotyczy części 1</w:t>
      </w:r>
    </w:p>
    <w:p w14:paraId="61D2A690" w14:textId="6AB8F4DA" w:rsidR="00B32716" w:rsidRDefault="00B32716" w:rsidP="00735E92">
      <w:pPr>
        <w:spacing w:after="0"/>
        <w:rPr>
          <w:rFonts w:ascii="Garamond" w:hAnsi="Garamond" w:cs="Times New Roman"/>
        </w:rPr>
      </w:pPr>
    </w:p>
    <w:p w14:paraId="409FD2C2" w14:textId="4BB109D2" w:rsidR="00B66EFF" w:rsidRPr="00566F35" w:rsidRDefault="00B66EFF" w:rsidP="00B32716">
      <w:pPr>
        <w:spacing w:after="0"/>
        <w:jc w:val="center"/>
        <w:rPr>
          <w:rFonts w:ascii="Garamond" w:hAnsi="Garamond"/>
          <w:bCs/>
        </w:rPr>
      </w:pPr>
      <w:r w:rsidRPr="00566F35">
        <w:rPr>
          <w:rFonts w:ascii="Garamond" w:hAnsi="Garamond"/>
          <w:bCs/>
        </w:rPr>
        <w:t>Przedmiotem zamówienia jest:</w:t>
      </w:r>
    </w:p>
    <w:p w14:paraId="4E6531E5" w14:textId="77777777" w:rsidR="00B66EFF" w:rsidRPr="00566F35" w:rsidRDefault="00B66EFF" w:rsidP="008E037E">
      <w:pPr>
        <w:pStyle w:val="Default"/>
        <w:numPr>
          <w:ilvl w:val="0"/>
          <w:numId w:val="3"/>
        </w:numPr>
        <w:spacing w:line="360" w:lineRule="auto"/>
        <w:jc w:val="both"/>
        <w:rPr>
          <w:rFonts w:ascii="Garamond" w:hAnsi="Garamond"/>
          <w:bCs/>
          <w:sz w:val="22"/>
          <w:szCs w:val="22"/>
        </w:rPr>
      </w:pPr>
      <w:r w:rsidRPr="00566F35">
        <w:rPr>
          <w:rFonts w:ascii="Garamond" w:hAnsi="Garamond"/>
          <w:bCs/>
          <w:sz w:val="22"/>
          <w:szCs w:val="22"/>
        </w:rPr>
        <w:t xml:space="preserve">zakup i dostawa odczynników przeznaczonych do barwienia IHC, </w:t>
      </w:r>
      <w:r w:rsidR="00551AA9" w:rsidRPr="00566F35">
        <w:rPr>
          <w:rFonts w:ascii="Garamond" w:hAnsi="Garamond"/>
          <w:bCs/>
          <w:sz w:val="22"/>
          <w:szCs w:val="22"/>
        </w:rPr>
        <w:t>ISH</w:t>
      </w:r>
      <w:r w:rsidRPr="00566F35">
        <w:rPr>
          <w:rFonts w:ascii="Garamond" w:hAnsi="Garamond"/>
          <w:bCs/>
          <w:sz w:val="22"/>
          <w:szCs w:val="22"/>
        </w:rPr>
        <w:t xml:space="preserve"> wraz z materiałami zużywalnymi </w:t>
      </w:r>
    </w:p>
    <w:p w14:paraId="1B37FABB" w14:textId="77777777" w:rsidR="008E037E" w:rsidRPr="00566F35" w:rsidRDefault="00B66EFF" w:rsidP="00566F35">
      <w:pPr>
        <w:pStyle w:val="Default"/>
        <w:numPr>
          <w:ilvl w:val="0"/>
          <w:numId w:val="3"/>
        </w:numPr>
        <w:spacing w:line="360" w:lineRule="auto"/>
        <w:jc w:val="both"/>
        <w:rPr>
          <w:rFonts w:ascii="Garamond" w:hAnsi="Garamond"/>
          <w:bCs/>
          <w:sz w:val="22"/>
          <w:szCs w:val="22"/>
        </w:rPr>
      </w:pPr>
      <w:r w:rsidRPr="00566F35">
        <w:rPr>
          <w:rFonts w:ascii="Garamond" w:hAnsi="Garamond"/>
          <w:bCs/>
          <w:sz w:val="22"/>
          <w:szCs w:val="22"/>
        </w:rPr>
        <w:t xml:space="preserve">dzierżawa systemu do barwień składającego się z jednego aparatu do wykonania w/w badań </w:t>
      </w:r>
    </w:p>
    <w:p w14:paraId="4D9A97EC" w14:textId="77777777" w:rsidR="00A87A70" w:rsidRPr="00566F35" w:rsidRDefault="00A87A70" w:rsidP="00A87A70">
      <w:pPr>
        <w:pStyle w:val="Default"/>
        <w:spacing w:after="120"/>
        <w:jc w:val="both"/>
        <w:rPr>
          <w:rFonts w:ascii="Garamond" w:hAnsi="Garamond"/>
          <w:color w:val="auto"/>
          <w:sz w:val="22"/>
          <w:szCs w:val="22"/>
          <w:u w:val="single"/>
        </w:rPr>
      </w:pPr>
      <w:r w:rsidRPr="00566F35">
        <w:rPr>
          <w:rFonts w:ascii="Garamond" w:hAnsi="Garamond"/>
          <w:color w:val="auto"/>
          <w:sz w:val="22"/>
          <w:szCs w:val="22"/>
          <w:u w:val="single"/>
        </w:rPr>
        <w:t>Wykonawca dostarczy system do diagnostyki immunohistochemicznej obejmujący:</w:t>
      </w:r>
    </w:p>
    <w:p w14:paraId="3EC31738" w14:textId="77777777" w:rsidR="00B66EFF" w:rsidRPr="00566F35" w:rsidRDefault="00B66EFF" w:rsidP="00B66EFF">
      <w:pPr>
        <w:pStyle w:val="Akapitzlist"/>
        <w:numPr>
          <w:ilvl w:val="0"/>
          <w:numId w:val="2"/>
        </w:numPr>
        <w:rPr>
          <w:rFonts w:ascii="Garamond" w:eastAsia="Calibri" w:hAnsi="Garamond"/>
          <w:b/>
          <w:sz w:val="22"/>
          <w:szCs w:val="22"/>
          <w:lang w:eastAsia="en-US"/>
        </w:rPr>
      </w:pPr>
      <w:r w:rsidRPr="00566F35">
        <w:rPr>
          <w:rFonts w:ascii="Garamond" w:eastAsia="Calibri" w:hAnsi="Garamond"/>
          <w:b/>
          <w:sz w:val="22"/>
          <w:szCs w:val="22"/>
          <w:lang w:eastAsia="en-US"/>
        </w:rPr>
        <w:t>Aparat wraz z osprzętem i oprogramowaniem wg poniższej specyfikacji:</w:t>
      </w:r>
    </w:p>
    <w:tbl>
      <w:tblPr>
        <w:tblW w:w="1019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92"/>
        <w:gridCol w:w="8196"/>
        <w:gridCol w:w="1510"/>
      </w:tblGrid>
      <w:tr w:rsidR="004A7CC9" w:rsidRPr="00566F35" w14:paraId="35464F5F" w14:textId="77777777" w:rsidTr="0092722A">
        <w:trPr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D5E9B0E" w14:textId="77777777" w:rsidR="004A7CC9" w:rsidRPr="00566F35" w:rsidRDefault="004A7CC9" w:rsidP="005963CD">
            <w:pPr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Lp.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16F4E84" w14:textId="77777777" w:rsidR="004A7CC9" w:rsidRPr="00566F35" w:rsidRDefault="004A7CC9" w:rsidP="005963CD">
            <w:pPr>
              <w:keepNext/>
              <w:jc w:val="center"/>
              <w:outlineLvl w:val="2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Nazwa parametru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623DD0A" w14:textId="77777777" w:rsidR="004A7CC9" w:rsidRPr="00B54284" w:rsidRDefault="004A7CC9" w:rsidP="005963CD">
            <w:pPr>
              <w:jc w:val="center"/>
              <w:rPr>
                <w:rFonts w:ascii="Garamond" w:eastAsia="Times New Roman" w:hAnsi="Garamond" w:cs="Times New Roman"/>
                <w:b/>
              </w:rPr>
            </w:pPr>
            <w:r w:rsidRPr="00B54284">
              <w:rPr>
                <w:rFonts w:ascii="Garamond" w:eastAsia="Times New Roman" w:hAnsi="Garamond" w:cs="Times New Roman"/>
                <w:b/>
              </w:rPr>
              <w:t>Potwierdzenie spełnienia</w:t>
            </w:r>
          </w:p>
          <w:p w14:paraId="58E3C696" w14:textId="77777777" w:rsidR="004A7CC9" w:rsidRPr="00566F35" w:rsidRDefault="004A7CC9" w:rsidP="005963CD">
            <w:pPr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  <w:color w:val="0070C0"/>
              </w:rPr>
              <w:t>(należy wpisać Tak lub Nie)*</w:t>
            </w:r>
          </w:p>
        </w:tc>
      </w:tr>
      <w:tr w:rsidR="004A7CC9" w:rsidRPr="00566F35" w14:paraId="51D30B4C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5FB20C" w14:textId="77777777" w:rsidR="004A7CC9" w:rsidRPr="00566F35" w:rsidRDefault="004A7CC9" w:rsidP="005963CD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1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3E5B97" w14:textId="77777777" w:rsidR="004A7CC9" w:rsidRPr="00566F35" w:rsidRDefault="00B66EFF" w:rsidP="005963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hAnsi="Garamond" w:cs="Times New Roman"/>
                <w:color w:val="000000"/>
              </w:rPr>
              <w:t xml:space="preserve">Aparat wraz z osprzętem i oprogramowaniem wraz z zestawami odczynników do barwień (lista w załączniku </w:t>
            </w:r>
            <w:r w:rsidR="00566F35">
              <w:rPr>
                <w:rFonts w:ascii="Garamond" w:hAnsi="Garamond" w:cs="Times New Roman"/>
                <w:color w:val="000000"/>
              </w:rPr>
              <w:t xml:space="preserve">nr </w:t>
            </w:r>
            <w:r w:rsidRPr="00566F35">
              <w:rPr>
                <w:rFonts w:ascii="Garamond" w:hAnsi="Garamond" w:cs="Times New Roman"/>
                <w:color w:val="000000"/>
              </w:rPr>
              <w:t>1a</w:t>
            </w:r>
            <w:r w:rsidR="00566F35">
              <w:rPr>
                <w:rFonts w:ascii="Garamond" w:hAnsi="Garamond" w:cs="Times New Roman"/>
                <w:color w:val="000000"/>
              </w:rPr>
              <w:t xml:space="preserve"> do SWZ</w:t>
            </w:r>
            <w:r w:rsidRPr="00566F35">
              <w:rPr>
                <w:rFonts w:ascii="Garamond" w:hAnsi="Garamond" w:cs="Times New Roman"/>
                <w:color w:val="000000"/>
              </w:rPr>
              <w:t>),  kompletem buforów oraz pozostałych reagentów i materiałów eksploatacyjnych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C728B" w14:textId="77777777" w:rsidR="004A7CC9" w:rsidRPr="00566F35" w:rsidRDefault="004A7CC9" w:rsidP="005963CD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4A7CC9" w:rsidRPr="00566F35" w14:paraId="20E364B5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5436B" w14:textId="77777777" w:rsidR="004A7CC9" w:rsidRPr="00566F35" w:rsidRDefault="00B66EFF" w:rsidP="005963CD">
            <w:pPr>
              <w:spacing w:line="150" w:lineRule="atLeast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566F35">
              <w:rPr>
                <w:rFonts w:ascii="Garamond" w:eastAsia="Times New Roman" w:hAnsi="Garamond" w:cs="Times New Roman"/>
                <w:color w:val="000000"/>
              </w:rPr>
              <w:t>2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D82D6C" w14:textId="77777777" w:rsidR="004A7CC9" w:rsidRPr="00566F35" w:rsidRDefault="00A87A70" w:rsidP="00566F35">
            <w:pPr>
              <w:spacing w:before="120" w:after="120"/>
              <w:jc w:val="both"/>
              <w:rPr>
                <w:rFonts w:ascii="Garamond" w:eastAsia="Times New Roman" w:hAnsi="Garamond" w:cs="Times New Roman"/>
                <w:color w:val="000000"/>
              </w:rPr>
            </w:pPr>
            <w:r w:rsidRPr="00566F35">
              <w:rPr>
                <w:rFonts w:ascii="Garamond" w:hAnsi="Garamond" w:cs="Times New Roman"/>
                <w:color w:val="000000"/>
              </w:rPr>
              <w:t>Ilość buforów, dodatkowych reagentów i materiałów zużywalnych niezbędnych do wykonania barwień powinna uwzględnić konieczność częstego czyszczenia urządzenia, powinna być dostarczona w ilości</w:t>
            </w:r>
            <w:r w:rsidRPr="00566F35">
              <w:rPr>
                <w:rFonts w:ascii="Garamond" w:hAnsi="Garamond" w:cs="Times New Roman"/>
              </w:rPr>
              <w:t xml:space="preserve"> umożliwiającej wykonanie tylu barwień immunohistochemicznych i hybrydyzacji in situ ile można wykonać z wykorzystaniem wskazanych w załączniku </w:t>
            </w:r>
            <w:r w:rsidR="00566F35" w:rsidRPr="00566F35">
              <w:rPr>
                <w:rFonts w:ascii="Garamond" w:hAnsi="Garamond" w:cs="Times New Roman"/>
              </w:rPr>
              <w:t xml:space="preserve">nr 1a do SWZ </w:t>
            </w:r>
            <w:r w:rsidRPr="00566F35">
              <w:rPr>
                <w:rFonts w:ascii="Garamond" w:hAnsi="Garamond" w:cs="Times New Roman"/>
              </w:rPr>
              <w:t>przeciwciał</w:t>
            </w:r>
            <w:r w:rsidR="00566F35">
              <w:rPr>
                <w:rFonts w:ascii="Garamond" w:hAnsi="Garamond" w:cs="Times New Roman"/>
                <w:color w:val="000000"/>
              </w:rPr>
              <w:t xml:space="preserve"> przez</w:t>
            </w:r>
            <w:r w:rsidRPr="00566F35">
              <w:rPr>
                <w:rFonts w:ascii="Garamond" w:hAnsi="Garamond" w:cs="Times New Roman"/>
                <w:color w:val="000000"/>
              </w:rPr>
              <w:t xml:space="preserve"> </w:t>
            </w:r>
            <w:r w:rsidRPr="00566F35">
              <w:rPr>
                <w:rFonts w:ascii="Garamond" w:hAnsi="Garamond" w:cs="Times New Roman"/>
                <w:color w:val="000000" w:themeColor="text1"/>
              </w:rPr>
              <w:t xml:space="preserve">okres </w:t>
            </w:r>
            <w:r w:rsidR="00B66EFF" w:rsidRPr="00566F35">
              <w:rPr>
                <w:rFonts w:ascii="Garamond" w:hAnsi="Garamond" w:cs="Times New Roman"/>
                <w:color w:val="000000" w:themeColor="text1"/>
              </w:rPr>
              <w:t>2</w:t>
            </w:r>
            <w:r w:rsidR="00566F35">
              <w:rPr>
                <w:rFonts w:ascii="Garamond" w:hAnsi="Garamond" w:cs="Times New Roman"/>
                <w:color w:val="000000"/>
              </w:rPr>
              <w:t>4 miesięcy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36200" w14:textId="77777777" w:rsidR="004A7CC9" w:rsidRPr="00566F35" w:rsidRDefault="004A7CC9" w:rsidP="005963CD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4A7CC9" w:rsidRPr="00566F35" w14:paraId="511771B0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B2AE7" w14:textId="77777777" w:rsidR="004A7CC9" w:rsidRPr="00566F35" w:rsidRDefault="00B66EFF" w:rsidP="005963CD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3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C9ADC5" w14:textId="77777777" w:rsidR="004A7CC9" w:rsidRPr="00566F35" w:rsidRDefault="00A87A70" w:rsidP="004043E0">
            <w:pPr>
              <w:spacing w:before="120" w:after="120"/>
              <w:jc w:val="both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hAnsi="Garamond" w:cs="Times New Roman"/>
              </w:rPr>
              <w:t xml:space="preserve">Wykonawca dostarczy naklejki i taśmy do drukarki </w:t>
            </w:r>
            <w:r w:rsidRPr="00566F35">
              <w:rPr>
                <w:rFonts w:ascii="Garamond" w:hAnsi="Garamond" w:cs="Times New Roman"/>
                <w:color w:val="000000"/>
              </w:rPr>
              <w:t xml:space="preserve">w ilości proporcjonalnej do liczby przeciwciał wskazanych w w/w załączniku  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C2DD8" w14:textId="77777777" w:rsidR="004A7CC9" w:rsidRPr="00566F35" w:rsidRDefault="004A7CC9" w:rsidP="005963CD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4A7CC9" w:rsidRPr="00566F35" w14:paraId="1C45B37B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714BF3" w14:textId="77777777" w:rsidR="004A7CC9" w:rsidRPr="00566F35" w:rsidRDefault="00434BFF" w:rsidP="005963CD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4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7B690B" w14:textId="77777777" w:rsidR="004A7CC9" w:rsidRPr="00566F35" w:rsidRDefault="0044526D" w:rsidP="00566F35">
            <w:pPr>
              <w:rPr>
                <w:rFonts w:ascii="Garamond" w:hAnsi="Garamond" w:cs="Times New Roman"/>
                <w:color w:val="000000"/>
              </w:rPr>
            </w:pPr>
            <w:r w:rsidRPr="00566F35">
              <w:rPr>
                <w:rFonts w:ascii="Garamond" w:hAnsi="Garamond" w:cs="Times New Roman"/>
                <w:color w:val="000000"/>
              </w:rPr>
              <w:t>System barwienia musi być w pełni automatyczny i umożliwiać wykonywanie barwień IHC, CISH oraz FISH bez konieczności stosowania dodatkowych urządzeń.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99493" w14:textId="77777777" w:rsidR="004A7CC9" w:rsidRPr="00566F35" w:rsidRDefault="004A7CC9" w:rsidP="004043E0">
            <w:pPr>
              <w:rPr>
                <w:rFonts w:ascii="Garamond" w:eastAsia="Times New Roman" w:hAnsi="Garamond" w:cs="Times New Roman"/>
              </w:rPr>
            </w:pPr>
          </w:p>
        </w:tc>
      </w:tr>
      <w:tr w:rsidR="004A7CC9" w:rsidRPr="00566F35" w14:paraId="3CCC006D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0334A0" w14:textId="77777777" w:rsidR="004A7CC9" w:rsidRPr="00566F35" w:rsidRDefault="00434BFF" w:rsidP="005963CD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5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06A7C7" w14:textId="77777777" w:rsidR="004A7CC9" w:rsidRPr="00566F35" w:rsidRDefault="00B66EFF" w:rsidP="005963CD">
            <w:pPr>
              <w:spacing w:line="150" w:lineRule="atLeast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hAnsi="Garamond" w:cs="Times New Roman"/>
                <w:color w:val="000000"/>
              </w:rPr>
              <w:t xml:space="preserve">Urządzenie musi wykonywać wszystkie etapy barwienia IHC oraz CISH rozpoczynając od odparafinowania do barwienia kontrastowego włącznie. </w:t>
            </w:r>
            <w:r w:rsidR="0044526D" w:rsidRPr="00566F35">
              <w:rPr>
                <w:rFonts w:ascii="Garamond" w:hAnsi="Garamond" w:cs="Times New Roman"/>
                <w:color w:val="000000"/>
              </w:rPr>
              <w:t>Dla procedury FISH dopuszcza się jedynie wykonywanie barwienia DAPI poza urządzeniem.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F6C56" w14:textId="77777777" w:rsidR="004A7CC9" w:rsidRPr="00566F35" w:rsidRDefault="004A7CC9" w:rsidP="005963CD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4A7CC9" w:rsidRPr="00566F35" w14:paraId="02C76DE1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391FA0" w14:textId="77777777" w:rsidR="004A7CC9" w:rsidRPr="00566F35" w:rsidRDefault="00434BFF" w:rsidP="005963CD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6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F28A6" w14:textId="77777777" w:rsidR="004A7CC9" w:rsidRPr="00566F35" w:rsidRDefault="0044526D" w:rsidP="005963CD">
            <w:pPr>
              <w:spacing w:line="150" w:lineRule="atLeast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hAnsi="Garamond" w:cs="Times New Roman"/>
              </w:rPr>
              <w:t xml:space="preserve">System musi umożliwiać ciągłą pracę – dokładanie szkiełek w trakcie trwania procesu barwienia </w:t>
            </w:r>
            <w:r w:rsidR="00B66EFF" w:rsidRPr="00566F35">
              <w:rPr>
                <w:rFonts w:ascii="Garamond" w:hAnsi="Garamond" w:cs="Times New Roman"/>
              </w:rPr>
              <w:t>(3 niezależne tacki na szkiełka), bez konieczności czekania na zakończenie trwających już barwień odbywających się na pozostałych tackach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734F4" w14:textId="77777777" w:rsidR="004A7CC9" w:rsidRPr="00566F35" w:rsidRDefault="004A7CC9" w:rsidP="005963CD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4A7CC9" w:rsidRPr="00566F35" w14:paraId="0DCA766E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CF0052" w14:textId="77777777" w:rsidR="004A7CC9" w:rsidRPr="00566F35" w:rsidRDefault="00434BFF" w:rsidP="005963CD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7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4C0A62" w14:textId="77777777" w:rsidR="004A7CC9" w:rsidRPr="00566F35" w:rsidRDefault="00B66EFF" w:rsidP="00B66EFF">
            <w:pPr>
              <w:spacing w:line="150" w:lineRule="atLeast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hAnsi="Garamond" w:cs="Times New Roman"/>
                <w:color w:val="000000"/>
              </w:rPr>
              <w:t>Urządzenie posiada robot barwiący wyposażony w czytnik ID oraz aparat fotograficzny, ramię robota porusza się w płaszczyznach XYZ.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70BBF" w14:textId="77777777" w:rsidR="004A7CC9" w:rsidRPr="00566F35" w:rsidRDefault="004A7CC9" w:rsidP="005963CD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4A7CC9" w:rsidRPr="00566F35" w14:paraId="4E2B9B31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2E1DD9" w14:textId="77777777" w:rsidR="004A7CC9" w:rsidRPr="00566F35" w:rsidRDefault="00434BFF" w:rsidP="005963CD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8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3BD70A" w14:textId="77777777" w:rsidR="004A7CC9" w:rsidRPr="00566F35" w:rsidRDefault="00B66EFF" w:rsidP="00BF0E1C">
            <w:pPr>
              <w:spacing w:line="150" w:lineRule="atLeast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hAnsi="Garamond" w:cs="Times New Roman"/>
                <w:color w:val="000000"/>
              </w:rPr>
              <w:t xml:space="preserve">Urządzenie </w:t>
            </w:r>
            <w:r w:rsidR="00BF0E1C" w:rsidRPr="00566F35">
              <w:rPr>
                <w:rFonts w:ascii="Garamond" w:hAnsi="Garamond" w:cs="Times New Roman"/>
                <w:color w:val="000000"/>
              </w:rPr>
              <w:t xml:space="preserve">musi </w:t>
            </w:r>
            <w:r w:rsidRPr="00566F35">
              <w:rPr>
                <w:rFonts w:ascii="Garamond" w:hAnsi="Garamond" w:cs="Times New Roman"/>
                <w:color w:val="000000"/>
              </w:rPr>
              <w:t>posiada</w:t>
            </w:r>
            <w:r w:rsidR="00BF0E1C" w:rsidRPr="00566F35">
              <w:rPr>
                <w:rFonts w:ascii="Garamond" w:hAnsi="Garamond" w:cs="Times New Roman"/>
                <w:color w:val="000000"/>
              </w:rPr>
              <w:t>ć</w:t>
            </w:r>
            <w:r w:rsidRPr="00566F35">
              <w:rPr>
                <w:rFonts w:ascii="Garamond" w:hAnsi="Garamond" w:cs="Times New Roman"/>
                <w:color w:val="000000"/>
              </w:rPr>
              <w:t xml:space="preserve"> trzy roboty pracujące w płaszczyźnie Y, obsługujące odczynniki zbiorcze umieszczone w szafie aparatu - przyśpieszające proces barwienia.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55FDE" w14:textId="77777777" w:rsidR="004A7CC9" w:rsidRPr="00566F35" w:rsidRDefault="004A7CC9" w:rsidP="005963CD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4A7CC9" w:rsidRPr="00566F35" w14:paraId="7948A59F" w14:textId="77777777" w:rsidTr="0092722A">
        <w:trPr>
          <w:trHeight w:val="356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ED94F1" w14:textId="77777777" w:rsidR="004A7CC9" w:rsidRPr="00566F35" w:rsidRDefault="00434BFF" w:rsidP="005963CD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9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77E234" w14:textId="77777777" w:rsidR="004A7CC9" w:rsidRPr="00566F35" w:rsidRDefault="00B66EFF" w:rsidP="005963CD">
            <w:pPr>
              <w:spacing w:line="150" w:lineRule="atLeast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hAnsi="Garamond" w:cs="Times New Roman"/>
                <w:color w:val="000000"/>
              </w:rPr>
              <w:t>Sonda aspiracyjna wyposażona w czujnik poziomu płynów.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DBA15" w14:textId="77777777" w:rsidR="004A7CC9" w:rsidRPr="00566F35" w:rsidRDefault="004A7CC9" w:rsidP="005963CD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4A7CC9" w:rsidRPr="00566F35" w14:paraId="6765F1B0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06B779" w14:textId="77777777" w:rsidR="004A7CC9" w:rsidRPr="00566F35" w:rsidRDefault="00434BFF" w:rsidP="005963CD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10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B9A0C1" w14:textId="77777777" w:rsidR="004A7CC9" w:rsidRPr="00566F35" w:rsidRDefault="0044526D" w:rsidP="0044526D">
            <w:pPr>
              <w:spacing w:line="150" w:lineRule="atLeast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 xml:space="preserve">Urządzenie musi posiadać blok myjący oraz stację mieszania - </w:t>
            </w:r>
            <w:r w:rsidR="00B66EFF" w:rsidRPr="00566F35">
              <w:rPr>
                <w:rFonts w:ascii="Garamond" w:eastAsia="Times New Roman" w:hAnsi="Garamond" w:cs="Times New Roman"/>
              </w:rPr>
              <w:t xml:space="preserve">urządzenie nadzoruje obecność i stan stacji mieszania. </w:t>
            </w:r>
            <w:r w:rsidRPr="00566F35">
              <w:rPr>
                <w:rFonts w:ascii="Garamond" w:eastAsia="Times New Roman" w:hAnsi="Garamond" w:cs="Times New Roman"/>
              </w:rPr>
              <w:t>Brak stacji lub jej nieprawidłowy stan uniemożliwia rozpoczęcie pracy.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8F96F" w14:textId="77777777" w:rsidR="004A7CC9" w:rsidRPr="00566F35" w:rsidRDefault="004A7CC9" w:rsidP="005963CD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4A7CC9" w:rsidRPr="00566F35" w14:paraId="673BFB91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F5C906" w14:textId="77777777" w:rsidR="004A7CC9" w:rsidRPr="00566F35" w:rsidRDefault="004A7CC9" w:rsidP="00434BFF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lastRenderedPageBreak/>
              <w:t>1</w:t>
            </w:r>
            <w:r w:rsidR="00434BFF" w:rsidRPr="00566F35">
              <w:rPr>
                <w:rFonts w:ascii="Garamond" w:eastAsia="Times New Roman" w:hAnsi="Garamond" w:cs="Times New Roman"/>
              </w:rPr>
              <w:t>1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2DCE17" w14:textId="77777777" w:rsidR="004A7CC9" w:rsidRPr="00566F35" w:rsidRDefault="0044526D" w:rsidP="0044526D">
            <w:pPr>
              <w:spacing w:line="150" w:lineRule="atLeast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System musi być wyposażone w c</w:t>
            </w:r>
            <w:r w:rsidR="00B66EFF" w:rsidRPr="00566F35">
              <w:rPr>
                <w:rFonts w:ascii="Garamond" w:eastAsia="Times New Roman" w:hAnsi="Garamond" w:cs="Times New Roman"/>
              </w:rPr>
              <w:t>ztery pompy strzykawkowe umieszczone z przodu urządzenia. Trzy pompy dla robotów odczynników zbiorczych, jedna dla sondy aspiracyjnej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47F2D7" w14:textId="77777777" w:rsidR="004A7CC9" w:rsidRPr="00566F35" w:rsidRDefault="004A7CC9" w:rsidP="005963CD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4A7CC9" w:rsidRPr="00566F35" w14:paraId="10C73F6E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2EE53D" w14:textId="77777777" w:rsidR="004A7CC9" w:rsidRPr="00566F35" w:rsidRDefault="004A7CC9" w:rsidP="00434BFF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1</w:t>
            </w:r>
            <w:r w:rsidR="00434BFF" w:rsidRPr="00566F35">
              <w:rPr>
                <w:rFonts w:ascii="Garamond" w:eastAsia="Times New Roman" w:hAnsi="Garamond" w:cs="Times New Roman"/>
              </w:rPr>
              <w:t>2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1CF66E" w14:textId="77777777" w:rsidR="004A7CC9" w:rsidRPr="00566F35" w:rsidRDefault="00B66EFF" w:rsidP="00087105">
            <w:pPr>
              <w:spacing w:line="135" w:lineRule="atLeast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Ręczny skaner kodów kreskowych 1D i 2D – do identyfikacji odczynników oraz szkiełek</w:t>
            </w:r>
            <w:r w:rsidR="00087105" w:rsidRPr="00566F35">
              <w:rPr>
                <w:rFonts w:ascii="Garamond" w:eastAsia="Times New Roman" w:hAnsi="Garamond" w:cs="Times New Roman"/>
              </w:rPr>
              <w:t>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6A651" w14:textId="77777777" w:rsidR="004A7CC9" w:rsidRPr="00566F35" w:rsidRDefault="004A7CC9" w:rsidP="005963CD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4A7CC9" w:rsidRPr="00566F35" w14:paraId="558C30E9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D915CF" w14:textId="77777777" w:rsidR="004A7CC9" w:rsidRPr="00566F35" w:rsidRDefault="004A7CC9" w:rsidP="00434BFF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1</w:t>
            </w:r>
            <w:r w:rsidR="00434BFF" w:rsidRPr="00566F35">
              <w:rPr>
                <w:rFonts w:ascii="Garamond" w:eastAsia="Times New Roman" w:hAnsi="Garamond" w:cs="Times New Roman"/>
              </w:rPr>
              <w:t>3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267E8B" w14:textId="455954AE" w:rsidR="004A7CC9" w:rsidRPr="00566F35" w:rsidRDefault="00B66EFF" w:rsidP="004B7B87">
            <w:pPr>
              <w:spacing w:line="135" w:lineRule="atLeast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 xml:space="preserve">Drukarka etykiet do szkiełek. Etykiety oraz druk odporne na odczynniki stosowane w procesie barwienia. Możliwość pracy na szkiełkach z etykietami drukowanymi na drukarce, etykietami </w:t>
            </w:r>
            <w:r w:rsidRPr="004B7B87">
              <w:rPr>
                <w:rFonts w:ascii="Garamond" w:eastAsia="Times New Roman" w:hAnsi="Garamond" w:cs="Times New Roman"/>
                <w:color w:val="000000" w:themeColor="text1"/>
              </w:rPr>
              <w:t xml:space="preserve">generowanymi </w:t>
            </w:r>
            <w:r w:rsidR="00B87257" w:rsidRPr="004B7B87">
              <w:rPr>
                <w:rFonts w:ascii="Garamond" w:hAnsi="Garamond" w:cs="Times New Roman"/>
                <w:color w:val="000000" w:themeColor="text1"/>
              </w:rPr>
              <w:t>w</w:t>
            </w:r>
            <w:r w:rsidR="00BE439B" w:rsidRPr="004B7B87">
              <w:rPr>
                <w:rFonts w:ascii="Garamond" w:hAnsi="Garamond" w:cs="Times New Roman"/>
                <w:color w:val="000000" w:themeColor="text1"/>
              </w:rPr>
              <w:t xml:space="preserve"> systemem informatycznym</w:t>
            </w:r>
            <w:r w:rsidR="00B87257" w:rsidRPr="004B7B87">
              <w:rPr>
                <w:rFonts w:ascii="Garamond" w:hAnsi="Garamond" w:cs="Times New Roman"/>
                <w:color w:val="000000" w:themeColor="text1"/>
              </w:rPr>
              <w:t xml:space="preserve"> funkcjonującym w Zakładzie Patomorfologii( P</w:t>
            </w:r>
            <w:r w:rsidR="009868F4" w:rsidRPr="004B7B87">
              <w:rPr>
                <w:rFonts w:ascii="Garamond" w:hAnsi="Garamond" w:cs="Times New Roman"/>
                <w:color w:val="000000" w:themeColor="text1"/>
              </w:rPr>
              <w:t>at</w:t>
            </w:r>
            <w:r w:rsidR="00B87257" w:rsidRPr="004B7B87">
              <w:rPr>
                <w:rFonts w:ascii="Garamond" w:hAnsi="Garamond" w:cs="Times New Roman"/>
                <w:color w:val="000000" w:themeColor="text1"/>
              </w:rPr>
              <w:t xml:space="preserve">ARCH) </w:t>
            </w:r>
            <w:r w:rsidRPr="004B7B87">
              <w:rPr>
                <w:rFonts w:ascii="Garamond" w:eastAsia="Times New Roman" w:hAnsi="Garamond" w:cs="Times New Roman"/>
                <w:color w:val="000000" w:themeColor="text1"/>
              </w:rPr>
              <w:t xml:space="preserve">, </w:t>
            </w:r>
            <w:r w:rsidRPr="00566F35">
              <w:rPr>
                <w:rFonts w:ascii="Garamond" w:eastAsia="Times New Roman" w:hAnsi="Garamond" w:cs="Times New Roman"/>
              </w:rPr>
              <w:t>zadrukowanymi bezpośrednio, a także opisanymi ręcznie.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D153E5" w14:textId="77777777" w:rsidR="004A7CC9" w:rsidRPr="00566F35" w:rsidRDefault="004A7CC9" w:rsidP="005963CD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4A7CC9" w:rsidRPr="00566F35" w14:paraId="00338602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3D47BD" w14:textId="77777777" w:rsidR="004A7CC9" w:rsidRPr="00566F35" w:rsidRDefault="004A7CC9" w:rsidP="00434BFF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1</w:t>
            </w:r>
            <w:r w:rsidR="00434BFF" w:rsidRPr="00566F35">
              <w:rPr>
                <w:rFonts w:ascii="Garamond" w:eastAsia="Times New Roman" w:hAnsi="Garamond" w:cs="Times New Roman"/>
              </w:rPr>
              <w:t>4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F6097C" w14:textId="77777777" w:rsidR="004A7CC9" w:rsidRPr="00566F35" w:rsidRDefault="00B66EFF" w:rsidP="00087105">
            <w:pPr>
              <w:spacing w:line="135" w:lineRule="atLeast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Butelki na  odczynniki zbiorcze</w:t>
            </w:r>
            <w:r w:rsidR="00087105" w:rsidRPr="00566F35">
              <w:rPr>
                <w:rFonts w:ascii="Garamond" w:eastAsia="Times New Roman" w:hAnsi="Garamond" w:cs="Times New Roman"/>
              </w:rPr>
              <w:t xml:space="preserve"> powinny być łatwo</w:t>
            </w:r>
            <w:r w:rsidRPr="00566F35">
              <w:rPr>
                <w:rFonts w:ascii="Garamond" w:eastAsia="Times New Roman" w:hAnsi="Garamond" w:cs="Times New Roman"/>
              </w:rPr>
              <w:t xml:space="preserve"> dostęp</w:t>
            </w:r>
            <w:r w:rsidR="00087105" w:rsidRPr="00566F35">
              <w:rPr>
                <w:rFonts w:ascii="Garamond" w:eastAsia="Times New Roman" w:hAnsi="Garamond" w:cs="Times New Roman"/>
              </w:rPr>
              <w:t>ne</w:t>
            </w:r>
            <w:r w:rsidRPr="00566F35">
              <w:rPr>
                <w:rFonts w:ascii="Garamond" w:eastAsia="Times New Roman" w:hAnsi="Garamond" w:cs="Times New Roman"/>
              </w:rPr>
              <w:t xml:space="preserve">, umieszczone w podświetlonej szafie odczynnikowej pozbawionej drzwiczek. </w:t>
            </w:r>
            <w:r w:rsidR="00087105" w:rsidRPr="00566F35">
              <w:rPr>
                <w:rFonts w:ascii="Garamond" w:eastAsia="Times New Roman" w:hAnsi="Garamond" w:cs="Times New Roman"/>
              </w:rPr>
              <w:t>M</w:t>
            </w:r>
            <w:r w:rsidRPr="00566F35">
              <w:rPr>
                <w:rFonts w:ascii="Garamond" w:eastAsia="Times New Roman" w:hAnsi="Garamond" w:cs="Times New Roman"/>
              </w:rPr>
              <w:t xml:space="preserve">ateriał, z którego wykonane są butelki umożliwi wizualną kontrolę poziomu płynów. Miejsca na poszczególne butelki są oznaczone kolorami zgodnymi z kolorami etykiet na butelkach. </w:t>
            </w:r>
            <w:r w:rsidR="00087105" w:rsidRPr="00566F35">
              <w:rPr>
                <w:rFonts w:ascii="Garamond" w:eastAsia="Times New Roman" w:hAnsi="Garamond" w:cs="Times New Roman"/>
              </w:rPr>
              <w:t>M</w:t>
            </w:r>
            <w:r w:rsidRPr="00566F35">
              <w:rPr>
                <w:rFonts w:ascii="Garamond" w:eastAsia="Times New Roman" w:hAnsi="Garamond" w:cs="Times New Roman"/>
              </w:rPr>
              <w:t>ożliwe uzupełnianie odczynników  w czasie pracy urządzenia.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D69C35" w14:textId="77777777" w:rsidR="004A7CC9" w:rsidRPr="00566F35" w:rsidRDefault="004A7CC9" w:rsidP="005963CD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40824" w:rsidRPr="00566F35" w14:paraId="5E0B234C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A8ABCE" w14:textId="77777777" w:rsidR="00340824" w:rsidRPr="00566F35" w:rsidRDefault="00340824" w:rsidP="00434BFF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1</w:t>
            </w:r>
            <w:r w:rsidR="00434BFF" w:rsidRPr="00566F35">
              <w:rPr>
                <w:rFonts w:ascii="Garamond" w:eastAsia="Times New Roman" w:hAnsi="Garamond" w:cs="Times New Roman"/>
              </w:rPr>
              <w:t>5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D3D6B5" w14:textId="77777777" w:rsidR="00340824" w:rsidRPr="00566F35" w:rsidRDefault="00B66EFF" w:rsidP="00F66AE7">
            <w:pPr>
              <w:spacing w:line="135" w:lineRule="atLeast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 xml:space="preserve">System kolorystycznego ostrzegania o poziomie odczynników 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E08996" w14:textId="77777777" w:rsidR="00340824" w:rsidRPr="00566F35" w:rsidRDefault="00340824" w:rsidP="005963CD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40824" w:rsidRPr="00566F35" w14:paraId="1D4AD3EA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55F259" w14:textId="77777777" w:rsidR="00340824" w:rsidRPr="00566F35" w:rsidRDefault="00340824" w:rsidP="00434BFF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1</w:t>
            </w:r>
            <w:r w:rsidR="00434BFF" w:rsidRPr="00566F35">
              <w:rPr>
                <w:rFonts w:ascii="Garamond" w:eastAsia="Times New Roman" w:hAnsi="Garamond" w:cs="Times New Roman"/>
              </w:rPr>
              <w:t>6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3F3512" w14:textId="77777777" w:rsidR="00340824" w:rsidRPr="00566F35" w:rsidRDefault="00B66EFF" w:rsidP="00F66AE7">
            <w:pPr>
              <w:spacing w:line="135" w:lineRule="atLeast"/>
              <w:rPr>
                <w:rFonts w:ascii="Garamond" w:hAnsi="Garamond" w:cs="Times New Roman"/>
                <w:color w:val="000000"/>
              </w:rPr>
            </w:pPr>
            <w:r w:rsidRPr="00566F35">
              <w:rPr>
                <w:rFonts w:ascii="Garamond" w:hAnsi="Garamond" w:cs="Times New Roman"/>
                <w:color w:val="000000"/>
              </w:rPr>
              <w:t>Segregacja odpadów: niezależne pojemniki na odpady neutralne oraz niebezpieczne</w:t>
            </w:r>
            <w:r w:rsidR="00542507" w:rsidRPr="00566F35">
              <w:rPr>
                <w:rFonts w:ascii="Garamond" w:hAnsi="Garamond" w:cs="Times New Roman"/>
                <w:color w:val="000000"/>
              </w:rPr>
              <w:t>.</w:t>
            </w:r>
            <w:r w:rsidRPr="00566F35">
              <w:rPr>
                <w:rFonts w:ascii="Garamond" w:hAnsi="Garamond" w:cs="Times New Roman"/>
                <w:color w:val="000000"/>
              </w:rPr>
              <w:t xml:space="preserve"> Wszystkie pojemniki na odpady umieszczone na pokładzie urządzenia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E3CD60" w14:textId="77777777" w:rsidR="00340824" w:rsidRPr="00566F35" w:rsidRDefault="00340824" w:rsidP="005963CD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40824" w:rsidRPr="00566F35" w14:paraId="499AF436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B06B2F" w14:textId="77777777" w:rsidR="00340824" w:rsidRPr="00566F35" w:rsidRDefault="00434BFF" w:rsidP="005963CD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17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0CC63D" w14:textId="77777777" w:rsidR="00340824" w:rsidRPr="00566F35" w:rsidRDefault="00542507" w:rsidP="005963CD">
            <w:pPr>
              <w:spacing w:line="135" w:lineRule="atLeast"/>
              <w:rPr>
                <w:rFonts w:ascii="Garamond" w:hAnsi="Garamond" w:cs="Times New Roman"/>
                <w:color w:val="000000"/>
              </w:rPr>
            </w:pPr>
            <w:r w:rsidRPr="00566F35">
              <w:rPr>
                <w:rFonts w:ascii="Garamond" w:hAnsi="Garamond" w:cs="Times New Roman"/>
                <w:color w:val="000000"/>
              </w:rPr>
              <w:t>Wymagane są czujniki masy dla pojemników na odczynniki i odpady – system musi ostrzegać o niskim poziomie odczynników i wysokim poziomie odpadów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1DD5AC" w14:textId="77777777" w:rsidR="00340824" w:rsidRPr="00566F35" w:rsidRDefault="00340824" w:rsidP="005963CD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40824" w:rsidRPr="00566F35" w14:paraId="29558EE3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979574" w14:textId="77777777" w:rsidR="00340824" w:rsidRPr="00566F35" w:rsidRDefault="00434BFF" w:rsidP="005963CD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18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4D7B2D" w14:textId="77777777" w:rsidR="00340824" w:rsidRPr="00566F35" w:rsidRDefault="009F36ED" w:rsidP="009907F7">
            <w:pPr>
              <w:spacing w:line="135" w:lineRule="atLeast"/>
              <w:rPr>
                <w:rFonts w:ascii="Garamond" w:hAnsi="Garamond" w:cs="Times New Roman"/>
                <w:color w:val="000000"/>
              </w:rPr>
            </w:pPr>
            <w:r w:rsidRPr="00566F35">
              <w:rPr>
                <w:rFonts w:ascii="Garamond" w:hAnsi="Garamond" w:cs="Times New Roman"/>
                <w:color w:val="000000"/>
              </w:rPr>
              <w:t>Urządzenie</w:t>
            </w:r>
            <w:r w:rsidR="009907F7" w:rsidRPr="00566F35">
              <w:rPr>
                <w:rFonts w:ascii="Garamond" w:hAnsi="Garamond" w:cs="Times New Roman"/>
                <w:color w:val="000000"/>
              </w:rPr>
              <w:t xml:space="preserve"> musi pracować</w:t>
            </w:r>
            <w:r w:rsidRPr="00566F35">
              <w:rPr>
                <w:rFonts w:ascii="Garamond" w:hAnsi="Garamond" w:cs="Times New Roman"/>
                <w:color w:val="000000"/>
              </w:rPr>
              <w:t xml:space="preserve"> autonomicznie – </w:t>
            </w:r>
            <w:r w:rsidR="009907F7" w:rsidRPr="00566F35">
              <w:rPr>
                <w:rFonts w:ascii="Garamond" w:hAnsi="Garamond" w:cs="Times New Roman"/>
                <w:color w:val="000000"/>
              </w:rPr>
              <w:t>bez</w:t>
            </w:r>
            <w:r w:rsidRPr="00566F35">
              <w:rPr>
                <w:rFonts w:ascii="Garamond" w:hAnsi="Garamond" w:cs="Times New Roman"/>
                <w:color w:val="000000"/>
              </w:rPr>
              <w:t xml:space="preserve"> konieczności podłączenia do wody bieżącej  i kanalizacji.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7B46BD" w14:textId="77777777" w:rsidR="00340824" w:rsidRPr="00566F35" w:rsidRDefault="00340824" w:rsidP="005963CD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40824" w:rsidRPr="00566F35" w14:paraId="5CFE8B14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576637" w14:textId="77777777" w:rsidR="00340824" w:rsidRPr="00566F35" w:rsidRDefault="00434BFF" w:rsidP="005963CD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19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F93E51" w14:textId="16C53EEC" w:rsidR="00340824" w:rsidRPr="00566F35" w:rsidRDefault="009F36ED" w:rsidP="00542507">
            <w:pPr>
              <w:spacing w:line="135" w:lineRule="atLeast"/>
              <w:rPr>
                <w:rFonts w:ascii="Garamond" w:hAnsi="Garamond" w:cs="Times New Roman"/>
                <w:color w:val="000000"/>
              </w:rPr>
            </w:pPr>
            <w:r w:rsidRPr="001E475C">
              <w:rPr>
                <w:rFonts w:ascii="Garamond" w:hAnsi="Garamond" w:cs="Times New Roman"/>
              </w:rPr>
              <w:t xml:space="preserve">Urządzenie </w:t>
            </w:r>
            <w:r w:rsidR="00DB5E53" w:rsidRPr="001E475C">
              <w:rPr>
                <w:rFonts w:ascii="Garamond" w:hAnsi="Garamond" w:cs="Times New Roman"/>
              </w:rPr>
              <w:t>mu</w:t>
            </w:r>
            <w:r w:rsidR="00542507" w:rsidRPr="001E475C">
              <w:rPr>
                <w:rFonts w:ascii="Garamond" w:hAnsi="Garamond" w:cs="Times New Roman"/>
              </w:rPr>
              <w:t xml:space="preserve">si </w:t>
            </w:r>
            <w:r w:rsidR="00542507" w:rsidRPr="00566F35">
              <w:rPr>
                <w:rFonts w:ascii="Garamond" w:hAnsi="Garamond" w:cs="Times New Roman"/>
                <w:color w:val="000000"/>
              </w:rPr>
              <w:t xml:space="preserve">być </w:t>
            </w:r>
            <w:r w:rsidRPr="00566F35">
              <w:rPr>
                <w:rFonts w:ascii="Garamond" w:hAnsi="Garamond" w:cs="Times New Roman"/>
                <w:color w:val="000000"/>
              </w:rPr>
              <w:t xml:space="preserve">wyposażone w mechaniczny system zamykania i zabezpieczania szkiełek  w trakcie procesu barwienia eliminujący konieczność zabezpieczania szkiełek olejem mineralnym lub innymi mediami, pozwalający uzyskać znaczne oszczędności odczynników oraz doskonałą ochronę szkiełek przed wysuszeniem. Nakładki </w:t>
            </w:r>
            <w:r w:rsidR="009907F7" w:rsidRPr="00566F35">
              <w:rPr>
                <w:rFonts w:ascii="Garamond" w:hAnsi="Garamond" w:cs="Times New Roman"/>
                <w:color w:val="000000"/>
              </w:rPr>
              <w:t>umożliwiające</w:t>
            </w:r>
            <w:r w:rsidRPr="00566F35">
              <w:rPr>
                <w:rFonts w:ascii="Garamond" w:hAnsi="Garamond" w:cs="Times New Roman"/>
                <w:color w:val="000000"/>
              </w:rPr>
              <w:t xml:space="preserve"> </w:t>
            </w:r>
            <w:r w:rsidR="009907F7" w:rsidRPr="00566F35">
              <w:rPr>
                <w:rFonts w:ascii="Garamond" w:hAnsi="Garamond" w:cs="Times New Roman"/>
                <w:color w:val="000000"/>
              </w:rPr>
              <w:t xml:space="preserve">wielokrotnie </w:t>
            </w:r>
            <w:r w:rsidRPr="00566F35">
              <w:rPr>
                <w:rFonts w:ascii="Garamond" w:hAnsi="Garamond" w:cs="Times New Roman"/>
                <w:color w:val="000000"/>
              </w:rPr>
              <w:t>używan</w:t>
            </w:r>
            <w:r w:rsidR="00542507" w:rsidRPr="00566F35">
              <w:rPr>
                <w:rFonts w:ascii="Garamond" w:hAnsi="Garamond" w:cs="Times New Roman"/>
                <w:color w:val="000000"/>
              </w:rPr>
              <w:t>i</w:t>
            </w:r>
            <w:r w:rsidRPr="00566F35">
              <w:rPr>
                <w:rFonts w:ascii="Garamond" w:hAnsi="Garamond" w:cs="Times New Roman"/>
                <w:color w:val="000000"/>
              </w:rPr>
              <w:t>e</w:t>
            </w:r>
            <w:r w:rsidR="00542507" w:rsidRPr="00566F35">
              <w:rPr>
                <w:rFonts w:ascii="Garamond" w:hAnsi="Garamond" w:cs="Times New Roman"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D8B0AB" w14:textId="77777777" w:rsidR="00340824" w:rsidRPr="00566F35" w:rsidRDefault="00340824" w:rsidP="005963CD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40824" w:rsidRPr="00566F35" w14:paraId="241EA3C8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2A5AE1" w14:textId="77777777" w:rsidR="00340824" w:rsidRPr="00566F35" w:rsidRDefault="00434BFF" w:rsidP="005963CD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20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D30B1" w14:textId="77777777" w:rsidR="00340824" w:rsidRPr="00566F35" w:rsidRDefault="009907F7" w:rsidP="009907F7">
            <w:pPr>
              <w:spacing w:before="120" w:after="120"/>
              <w:jc w:val="both"/>
              <w:rPr>
                <w:rFonts w:ascii="Garamond" w:hAnsi="Garamond" w:cs="Times New Roman"/>
                <w:color w:val="000000"/>
              </w:rPr>
            </w:pPr>
            <w:r w:rsidRPr="00566F35">
              <w:rPr>
                <w:rFonts w:ascii="Garamond" w:hAnsi="Garamond" w:cs="Times New Roman"/>
                <w:color w:val="000000"/>
              </w:rPr>
              <w:t>System umożliwia nadzór nad poziomem płynu w kontenerach z odczynnikami, przedstawienie graficzne w postaci znikającego w miarę zużycia paska.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71F706" w14:textId="77777777" w:rsidR="00340824" w:rsidRPr="00566F35" w:rsidRDefault="00340824" w:rsidP="005963CD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40824" w:rsidRPr="00566F35" w14:paraId="54EBB9B7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7DFA36" w14:textId="77777777" w:rsidR="00340824" w:rsidRPr="00566F35" w:rsidRDefault="00434BFF" w:rsidP="005963CD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21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F4B930" w14:textId="77777777" w:rsidR="00340824" w:rsidRPr="00566F35" w:rsidRDefault="00223E56" w:rsidP="009F36ED">
            <w:pPr>
              <w:spacing w:before="120" w:after="120"/>
              <w:jc w:val="both"/>
              <w:rPr>
                <w:rFonts w:ascii="Garamond" w:hAnsi="Garamond" w:cs="Times New Roman"/>
                <w:color w:val="000000"/>
              </w:rPr>
            </w:pPr>
            <w:r w:rsidRPr="00566F35">
              <w:rPr>
                <w:rFonts w:ascii="Garamond" w:hAnsi="Garamond" w:cs="Times New Roman"/>
                <w:color w:val="000000"/>
              </w:rPr>
              <w:t xml:space="preserve">Każda pozycja szkiełka musi być wyposażona w osobny element grzejny, którego awaria nie blokuje pozostałych pozycji. </w:t>
            </w:r>
            <w:r w:rsidR="009F36ED" w:rsidRPr="00566F35">
              <w:rPr>
                <w:rFonts w:ascii="Garamond" w:hAnsi="Garamond" w:cs="Times New Roman"/>
                <w:color w:val="000000"/>
              </w:rPr>
              <w:t xml:space="preserve">Oprogramowanie </w:t>
            </w:r>
            <w:r w:rsidRPr="00566F35">
              <w:rPr>
                <w:rFonts w:ascii="Garamond" w:hAnsi="Garamond" w:cs="Times New Roman"/>
                <w:color w:val="000000"/>
              </w:rPr>
              <w:t>musi wskazywać</w:t>
            </w:r>
            <w:r w:rsidR="009F36ED" w:rsidRPr="00566F35">
              <w:rPr>
                <w:rFonts w:ascii="Garamond" w:hAnsi="Garamond" w:cs="Times New Roman"/>
                <w:color w:val="000000"/>
              </w:rPr>
              <w:t xml:space="preserve"> aktualną temperaturę tac na szkiełka w postaci ikony termometru oraz zmieniającego kolor obramowania tacy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7162E4" w14:textId="77777777" w:rsidR="00340824" w:rsidRPr="00566F35" w:rsidRDefault="00340824" w:rsidP="005963CD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40824" w:rsidRPr="00566F35" w14:paraId="4D3D1940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40891B" w14:textId="77777777" w:rsidR="00340824" w:rsidRPr="00566F35" w:rsidRDefault="00434BFF" w:rsidP="005963CD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22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D8B2AB" w14:textId="77777777" w:rsidR="00340824" w:rsidRPr="00566F35" w:rsidRDefault="009F36ED" w:rsidP="004043E0">
            <w:pPr>
              <w:spacing w:before="120" w:after="120"/>
              <w:jc w:val="both"/>
              <w:rPr>
                <w:rFonts w:ascii="Garamond" w:hAnsi="Garamond" w:cs="Times New Roman"/>
                <w:color w:val="000000"/>
              </w:rPr>
            </w:pPr>
            <w:r w:rsidRPr="00566F35">
              <w:rPr>
                <w:rFonts w:ascii="Garamond" w:hAnsi="Garamond" w:cs="Times New Roman"/>
                <w:color w:val="000000"/>
              </w:rPr>
              <w:t>Tace na odczynniki z możliwością umieszczeni</w:t>
            </w:r>
            <w:r w:rsidR="009907F7" w:rsidRPr="00566F35">
              <w:rPr>
                <w:rFonts w:ascii="Garamond" w:hAnsi="Garamond" w:cs="Times New Roman"/>
                <w:color w:val="000000"/>
              </w:rPr>
              <w:t>a pojemników 7ml, 30ml oraz 6ml.</w:t>
            </w:r>
            <w:r w:rsidRPr="00566F35">
              <w:rPr>
                <w:rFonts w:ascii="Garamond" w:hAnsi="Garamond" w:cs="Times New Roman"/>
                <w:color w:val="000000"/>
              </w:rPr>
              <w:t xml:space="preserve"> Pojemność 1 tacy – 9 miejsc. Całkowita pojemność przedziału na odczynniki – minimum 36 miejsc. 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4B064B" w14:textId="77777777" w:rsidR="00340824" w:rsidRPr="00566F35" w:rsidRDefault="00340824" w:rsidP="005963CD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40824" w:rsidRPr="00566F35" w14:paraId="6E5968CB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FE9A52" w14:textId="77777777" w:rsidR="00340824" w:rsidRPr="00566F35" w:rsidRDefault="00340824" w:rsidP="00434BFF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2</w:t>
            </w:r>
            <w:r w:rsidR="00434BFF" w:rsidRPr="00566F35">
              <w:rPr>
                <w:rFonts w:ascii="Garamond" w:eastAsia="Times New Roman" w:hAnsi="Garamond" w:cs="Times New Roman"/>
              </w:rPr>
              <w:t>3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730F1C" w14:textId="77777777" w:rsidR="00340824" w:rsidRPr="00566F35" w:rsidRDefault="009F36ED" w:rsidP="005963CD">
            <w:pPr>
              <w:spacing w:line="135" w:lineRule="atLeast"/>
              <w:rPr>
                <w:rFonts w:ascii="Garamond" w:hAnsi="Garamond" w:cs="Times New Roman"/>
                <w:color w:val="000000"/>
              </w:rPr>
            </w:pPr>
            <w:r w:rsidRPr="00566F35">
              <w:rPr>
                <w:rFonts w:ascii="Garamond" w:hAnsi="Garamond" w:cs="Times New Roman"/>
                <w:color w:val="000000"/>
              </w:rPr>
              <w:t xml:space="preserve">Odczynniki gotowe do użycia dostarczane w kontenerach </w:t>
            </w:r>
            <w:r w:rsidR="00223E56" w:rsidRPr="00566F35">
              <w:rPr>
                <w:rFonts w:ascii="Garamond" w:hAnsi="Garamond" w:cs="Times New Roman"/>
                <w:color w:val="000000"/>
              </w:rPr>
              <w:t>z kodem kreskowym umożliwiającym automatyczny odczyt po załadowaniu do urządzenia.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177E6A" w14:textId="77777777" w:rsidR="00340824" w:rsidRPr="00566F35" w:rsidRDefault="00340824" w:rsidP="005963CD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FC1304" w:rsidRPr="00566F35" w14:paraId="2483F14B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162E1A" w14:textId="77777777" w:rsidR="00FC1304" w:rsidRPr="00566F35" w:rsidRDefault="00E917C8" w:rsidP="00434BFF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2</w:t>
            </w:r>
            <w:r w:rsidR="00434BFF" w:rsidRPr="00566F35">
              <w:rPr>
                <w:rFonts w:ascii="Garamond" w:eastAsia="Times New Roman" w:hAnsi="Garamond" w:cs="Times New Roman"/>
              </w:rPr>
              <w:t>4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F38D1D" w14:textId="77777777" w:rsidR="00FC1304" w:rsidRPr="00566F35" w:rsidRDefault="009F36ED" w:rsidP="00223E56">
            <w:pPr>
              <w:spacing w:before="120" w:after="120"/>
              <w:jc w:val="both"/>
              <w:rPr>
                <w:rFonts w:ascii="Garamond" w:hAnsi="Garamond" w:cs="Times New Roman"/>
              </w:rPr>
            </w:pPr>
            <w:r w:rsidRPr="00566F35">
              <w:rPr>
                <w:rFonts w:ascii="Garamond" w:hAnsi="Garamond" w:cs="Times New Roman"/>
              </w:rPr>
              <w:t xml:space="preserve">Puste kontenery otwarte przeznaczone do przygotowania i przechowywania odczynników stężonych lub zewnętrznych. Wyposażone w kody kreskowe do rejestracji i odczytu. Pojemność 7ml lub 30ml. Kontenery </w:t>
            </w:r>
            <w:r w:rsidR="00223E56" w:rsidRPr="00566F35">
              <w:rPr>
                <w:rFonts w:ascii="Garamond" w:hAnsi="Garamond" w:cs="Times New Roman"/>
              </w:rPr>
              <w:t>do wielokrotnego uzupełniania.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795A25" w14:textId="77777777" w:rsidR="00FC1304" w:rsidRPr="00566F35" w:rsidRDefault="00FC1304" w:rsidP="005963CD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9907F7" w:rsidRPr="00566F35" w14:paraId="42048024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CC9865" w14:textId="77777777" w:rsidR="009907F7" w:rsidRPr="00566F35" w:rsidRDefault="00434BFF" w:rsidP="005963CD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lastRenderedPageBreak/>
              <w:t>25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FF45D6" w14:textId="77777777" w:rsidR="009907F7" w:rsidRPr="00566F35" w:rsidRDefault="00223E56" w:rsidP="00FC1304">
            <w:pPr>
              <w:spacing w:before="120" w:after="120"/>
              <w:jc w:val="both"/>
              <w:rPr>
                <w:rFonts w:ascii="Garamond" w:hAnsi="Garamond" w:cs="Times New Roman"/>
              </w:rPr>
            </w:pPr>
            <w:r w:rsidRPr="00566F35">
              <w:rPr>
                <w:rFonts w:ascii="Garamond" w:hAnsi="Garamond" w:cs="Times New Roman"/>
              </w:rPr>
              <w:t>Minimalna ładowność systemu – 30 szkiełek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27195B" w14:textId="77777777" w:rsidR="009907F7" w:rsidRPr="00566F35" w:rsidRDefault="009907F7" w:rsidP="005963CD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9907F7" w:rsidRPr="00566F35" w14:paraId="799B9304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B4B4E1" w14:textId="77777777" w:rsidR="009907F7" w:rsidRPr="00566F35" w:rsidRDefault="00434BFF" w:rsidP="005963CD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26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8BE05F" w14:textId="77777777" w:rsidR="009907F7" w:rsidRPr="00566F35" w:rsidRDefault="00223E56" w:rsidP="00FC1304">
            <w:pPr>
              <w:spacing w:before="120" w:after="120"/>
              <w:jc w:val="both"/>
              <w:rPr>
                <w:rFonts w:ascii="Garamond" w:hAnsi="Garamond" w:cs="Times New Roman"/>
              </w:rPr>
            </w:pPr>
            <w:r w:rsidRPr="00566F35">
              <w:rPr>
                <w:rFonts w:ascii="Garamond" w:hAnsi="Garamond" w:cs="Times New Roman"/>
              </w:rPr>
              <w:t>Trzy niezależne tace z możliwością jednoczesnego uruchamiania różnych protokołów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2B850A" w14:textId="77777777" w:rsidR="009907F7" w:rsidRPr="00566F35" w:rsidRDefault="009907F7" w:rsidP="005963CD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9907F7" w:rsidRPr="00566F35" w14:paraId="414041E1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63FE1B" w14:textId="77777777" w:rsidR="009907F7" w:rsidRPr="00566F35" w:rsidRDefault="00434BFF" w:rsidP="005963CD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27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18432C" w14:textId="77777777" w:rsidR="009907F7" w:rsidRPr="00566F35" w:rsidRDefault="00C30133" w:rsidP="00FC1304">
            <w:pPr>
              <w:spacing w:before="120" w:after="120"/>
              <w:jc w:val="both"/>
              <w:rPr>
                <w:rFonts w:ascii="Garamond" w:hAnsi="Garamond" w:cs="Times New Roman"/>
              </w:rPr>
            </w:pPr>
            <w:r w:rsidRPr="00566F35">
              <w:rPr>
                <w:rFonts w:ascii="Garamond" w:hAnsi="Garamond" w:cs="Times New Roman"/>
              </w:rPr>
              <w:t>System musi być otwarty – umożliwiać stosowanie odczynników różnych producentów.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D5E85D" w14:textId="77777777" w:rsidR="009907F7" w:rsidRPr="00566F35" w:rsidRDefault="009907F7" w:rsidP="005963CD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9907F7" w:rsidRPr="00566F35" w14:paraId="60A42C28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2C2596" w14:textId="77777777" w:rsidR="009907F7" w:rsidRPr="00566F35" w:rsidRDefault="00434BFF" w:rsidP="005963CD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28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AC4F6" w14:textId="77777777" w:rsidR="009907F7" w:rsidRPr="00566F35" w:rsidRDefault="00C30133" w:rsidP="00FC1304">
            <w:pPr>
              <w:spacing w:before="120" w:after="120"/>
              <w:jc w:val="both"/>
              <w:rPr>
                <w:rFonts w:ascii="Garamond" w:hAnsi="Garamond" w:cs="Times New Roman"/>
              </w:rPr>
            </w:pPr>
            <w:r w:rsidRPr="00566F35">
              <w:rPr>
                <w:rFonts w:ascii="Garamond" w:hAnsi="Garamond" w:cs="Times New Roman"/>
              </w:rPr>
              <w:t xml:space="preserve">System </w:t>
            </w:r>
            <w:r w:rsidR="00551AA9" w:rsidRPr="00566F35">
              <w:rPr>
                <w:rFonts w:ascii="Garamond" w:hAnsi="Garamond" w:cs="Times New Roman"/>
              </w:rPr>
              <w:t>umożliwia</w:t>
            </w:r>
            <w:r w:rsidRPr="00566F35">
              <w:rPr>
                <w:rFonts w:ascii="Garamond" w:hAnsi="Garamond" w:cs="Times New Roman"/>
              </w:rPr>
              <w:t xml:space="preserve"> uruchomienia różnych protokołów barwień w jednym czasie – IHCHRP, IHC-AP, różne sposoby odkrywania epitopów oraz CISH i FISH.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52C032" w14:textId="77777777" w:rsidR="009907F7" w:rsidRPr="00566F35" w:rsidRDefault="009907F7" w:rsidP="005963CD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9907F7" w:rsidRPr="00566F35" w14:paraId="1B969CC7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3EED40" w14:textId="77777777" w:rsidR="009907F7" w:rsidRPr="00566F35" w:rsidRDefault="00434BFF" w:rsidP="005963CD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29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206740" w14:textId="77777777" w:rsidR="009907F7" w:rsidRPr="00566F35" w:rsidRDefault="00C30133" w:rsidP="00C30133">
            <w:pPr>
              <w:spacing w:before="120" w:after="120"/>
              <w:jc w:val="both"/>
              <w:rPr>
                <w:rFonts w:ascii="Garamond" w:hAnsi="Garamond" w:cs="Times New Roman"/>
              </w:rPr>
            </w:pPr>
            <w:r w:rsidRPr="00566F35">
              <w:rPr>
                <w:rFonts w:ascii="Garamond" w:hAnsi="Garamond" w:cs="Times New Roman"/>
              </w:rPr>
              <w:t>Ilość dozowanego przeciwciała pozwalająca na wykonanie reakcji IHC na całym szkiełku podstawowym – 150 ul.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25C22A" w14:textId="77777777" w:rsidR="009907F7" w:rsidRPr="00566F35" w:rsidRDefault="009907F7" w:rsidP="005963CD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9907F7" w:rsidRPr="00566F35" w14:paraId="3A7AEC69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0937C2" w14:textId="77777777" w:rsidR="009907F7" w:rsidRPr="00566F35" w:rsidRDefault="00434BFF" w:rsidP="005963CD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30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AD19E5" w14:textId="77777777" w:rsidR="009907F7" w:rsidRPr="00566F35" w:rsidRDefault="00C30133" w:rsidP="00FC1304">
            <w:pPr>
              <w:spacing w:before="120" w:after="120"/>
              <w:jc w:val="both"/>
              <w:rPr>
                <w:rFonts w:ascii="Garamond" w:hAnsi="Garamond" w:cs="Times New Roman"/>
              </w:rPr>
            </w:pPr>
            <w:r w:rsidRPr="00566F35">
              <w:rPr>
                <w:rFonts w:ascii="Garamond" w:hAnsi="Garamond" w:cs="Times New Roman"/>
              </w:rPr>
              <w:t>Możliwość pominięcia dowolnego etapu detekcji w protokole.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C728F3" w14:textId="77777777" w:rsidR="009907F7" w:rsidRPr="00566F35" w:rsidRDefault="009907F7" w:rsidP="005963CD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9907F7" w:rsidRPr="00566F35" w14:paraId="58D83DB5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CC54FC" w14:textId="77777777" w:rsidR="009907F7" w:rsidRPr="00566F35" w:rsidRDefault="00434BFF" w:rsidP="005963CD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31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E4FD0B" w14:textId="77777777" w:rsidR="009907F7" w:rsidRPr="00566F35" w:rsidRDefault="00C30133" w:rsidP="00FC1304">
            <w:pPr>
              <w:spacing w:before="120" w:after="120"/>
              <w:jc w:val="both"/>
              <w:rPr>
                <w:rFonts w:ascii="Garamond" w:hAnsi="Garamond" w:cs="Times New Roman"/>
              </w:rPr>
            </w:pPr>
            <w:r w:rsidRPr="00566F35">
              <w:rPr>
                <w:rFonts w:ascii="Garamond" w:hAnsi="Garamond" w:cs="Times New Roman"/>
              </w:rPr>
              <w:t xml:space="preserve">Odparafinowanie musi odbywać </w:t>
            </w:r>
            <w:r w:rsidR="000E5C2F" w:rsidRPr="00566F35">
              <w:rPr>
                <w:rFonts w:ascii="Garamond" w:hAnsi="Garamond" w:cs="Times New Roman"/>
              </w:rPr>
              <w:t>się na pokładzie aparatu,  bez użycia ksylenu.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CC835B" w14:textId="77777777" w:rsidR="009907F7" w:rsidRPr="00566F35" w:rsidRDefault="009907F7" w:rsidP="005963CD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C30133" w:rsidRPr="00566F35" w14:paraId="0E5FD794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C42822" w14:textId="77777777" w:rsidR="00C30133" w:rsidRPr="00566F35" w:rsidRDefault="00434BFF" w:rsidP="005963CD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32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44A952" w14:textId="77777777" w:rsidR="00C30133" w:rsidRPr="00566F35" w:rsidRDefault="000E5C2F" w:rsidP="00FC1304">
            <w:pPr>
              <w:spacing w:before="120" w:after="120"/>
              <w:jc w:val="both"/>
              <w:rPr>
                <w:rFonts w:ascii="Garamond" w:hAnsi="Garamond" w:cs="Times New Roman"/>
              </w:rPr>
            </w:pPr>
            <w:r w:rsidRPr="00566F35">
              <w:rPr>
                <w:rFonts w:ascii="Garamond" w:hAnsi="Garamond" w:cs="Times New Roman"/>
              </w:rPr>
              <w:t>Możliwość pominięcia dowolnego etapu detekcji w protokole.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208A21" w14:textId="77777777" w:rsidR="00C30133" w:rsidRPr="00566F35" w:rsidRDefault="00C30133" w:rsidP="005963CD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C30133" w:rsidRPr="00566F35" w14:paraId="493BE82F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DDF61A" w14:textId="77777777" w:rsidR="00C30133" w:rsidRPr="00566F35" w:rsidRDefault="00434BFF" w:rsidP="005963CD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33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36F2CE" w14:textId="77777777" w:rsidR="00C30133" w:rsidRPr="00566F35" w:rsidRDefault="000E5C2F" w:rsidP="000E5C2F">
            <w:pPr>
              <w:rPr>
                <w:rFonts w:ascii="Garamond" w:hAnsi="Garamond" w:cs="Times New Roman"/>
              </w:rPr>
            </w:pPr>
            <w:r w:rsidRPr="00566F35">
              <w:rPr>
                <w:rFonts w:ascii="Garamond" w:hAnsi="Garamond" w:cs="Times New Roman"/>
              </w:rPr>
              <w:t>Możliwość opóźnienia startu procesu do 7 dni.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0D7485" w14:textId="77777777" w:rsidR="00C30133" w:rsidRPr="00566F35" w:rsidRDefault="00C30133" w:rsidP="005963CD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FC1304" w:rsidRPr="00566F35" w14:paraId="7FF79CCB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47330F" w14:textId="77777777" w:rsidR="00FC1304" w:rsidRPr="00566F35" w:rsidRDefault="00434BFF" w:rsidP="005963CD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34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7E9413" w14:textId="77777777" w:rsidR="00FC1304" w:rsidRPr="00566F35" w:rsidRDefault="000E5C2F" w:rsidP="00FC1304">
            <w:pPr>
              <w:spacing w:before="120" w:after="120"/>
              <w:jc w:val="both"/>
              <w:rPr>
                <w:rFonts w:ascii="Garamond" w:hAnsi="Garamond" w:cs="Times New Roman"/>
              </w:rPr>
            </w:pPr>
            <w:r w:rsidRPr="00566F35">
              <w:rPr>
                <w:rFonts w:ascii="Garamond" w:hAnsi="Garamond" w:cs="Times New Roman"/>
              </w:rPr>
              <w:t>Możliwość pozostawienia odczynników na pokładzie przez 96h (temperatura pokojowa).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037DA2" w14:textId="77777777" w:rsidR="00FC1304" w:rsidRPr="00566F35" w:rsidRDefault="00FC1304" w:rsidP="005963CD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0E5C2F" w:rsidRPr="00566F35" w14:paraId="67878097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471C25" w14:textId="77777777" w:rsidR="000E5C2F" w:rsidRPr="00566F35" w:rsidRDefault="00434BFF" w:rsidP="005963CD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35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0F8FC9" w14:textId="77777777" w:rsidR="000E5C2F" w:rsidRPr="00566F35" w:rsidRDefault="000E5C2F" w:rsidP="00FC1304">
            <w:pPr>
              <w:spacing w:before="120" w:after="120"/>
              <w:jc w:val="both"/>
              <w:rPr>
                <w:rFonts w:ascii="Garamond" w:hAnsi="Garamond" w:cs="Times New Roman"/>
              </w:rPr>
            </w:pPr>
            <w:r w:rsidRPr="00566F35">
              <w:rPr>
                <w:rFonts w:ascii="Garamond" w:hAnsi="Garamond" w:cs="Times New Roman"/>
              </w:rPr>
              <w:t>Możliwość dodawania/wyjmowania kontenerów w czasie pracy – z wizualną sygnalizacją stanu stacji.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0BCB6B" w14:textId="77777777" w:rsidR="000E5C2F" w:rsidRPr="00566F35" w:rsidRDefault="000E5C2F" w:rsidP="005963CD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0E5C2F" w:rsidRPr="00566F35" w14:paraId="682BB530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5D0DF3" w14:textId="77777777" w:rsidR="000E5C2F" w:rsidRPr="00566F35" w:rsidRDefault="00434BFF" w:rsidP="005963CD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36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ED0F1A" w14:textId="77777777" w:rsidR="000E5C2F" w:rsidRPr="00566F35" w:rsidRDefault="006E49CD" w:rsidP="00FC1304">
            <w:pPr>
              <w:spacing w:before="120" w:after="120"/>
              <w:jc w:val="both"/>
              <w:rPr>
                <w:rFonts w:ascii="Garamond" w:hAnsi="Garamond" w:cs="Times New Roman"/>
              </w:rPr>
            </w:pPr>
            <w:r w:rsidRPr="00566F35">
              <w:rPr>
                <w:rFonts w:ascii="Garamond" w:hAnsi="Garamond" w:cs="Times New Roman"/>
              </w:rPr>
              <w:t>Możliwość wykorzystania min. 29 przeciwciał w jednym cyklu barwienia.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691A88" w14:textId="77777777" w:rsidR="000E5C2F" w:rsidRPr="00566F35" w:rsidRDefault="000E5C2F" w:rsidP="005963CD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0E5C2F" w:rsidRPr="00566F35" w14:paraId="2FF69573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D2CDEC" w14:textId="77777777" w:rsidR="000E5C2F" w:rsidRPr="00566F35" w:rsidRDefault="00434BFF" w:rsidP="005963CD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37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32CEA0" w14:textId="77777777" w:rsidR="000E5C2F" w:rsidRPr="00566F35" w:rsidRDefault="006E49CD" w:rsidP="00FC1304">
            <w:pPr>
              <w:spacing w:before="120" w:after="120"/>
              <w:jc w:val="both"/>
              <w:rPr>
                <w:rFonts w:ascii="Garamond" w:hAnsi="Garamond" w:cs="Times New Roman"/>
              </w:rPr>
            </w:pPr>
            <w:r w:rsidRPr="00566F35">
              <w:rPr>
                <w:rFonts w:ascii="Garamond" w:hAnsi="Garamond" w:cs="Times New Roman"/>
              </w:rPr>
              <w:t>System musi dokonywać fizycznego pomiaru ilości przeciwciała przy każdym uruchomieniu protokołu.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2D7538" w14:textId="77777777" w:rsidR="000E5C2F" w:rsidRPr="00566F35" w:rsidRDefault="000E5C2F" w:rsidP="005963CD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6E49CD" w:rsidRPr="00566F35" w14:paraId="091DB48B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D027C8" w14:textId="77777777" w:rsidR="006E49CD" w:rsidRPr="00566F35" w:rsidRDefault="00434BFF" w:rsidP="005963CD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38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92F6AD" w14:textId="77777777" w:rsidR="006E49CD" w:rsidRPr="00566F35" w:rsidRDefault="006E49CD" w:rsidP="00FC1304">
            <w:pPr>
              <w:spacing w:before="120" w:after="120"/>
              <w:jc w:val="both"/>
              <w:rPr>
                <w:rFonts w:ascii="Garamond" w:hAnsi="Garamond" w:cs="Times New Roman"/>
              </w:rPr>
            </w:pPr>
            <w:r w:rsidRPr="00566F35">
              <w:rPr>
                <w:rFonts w:ascii="Garamond" w:hAnsi="Garamond" w:cs="Times New Roman"/>
              </w:rPr>
              <w:t>System musi samodzielnie skanować wszystkie załadowane odczynniki (kody kreskowe).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0E2E94" w14:textId="77777777" w:rsidR="006E49CD" w:rsidRPr="00566F35" w:rsidRDefault="006E49CD" w:rsidP="005963CD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6E49CD" w:rsidRPr="00566F35" w14:paraId="6FBFAB97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A3E4A1" w14:textId="77777777" w:rsidR="006E49CD" w:rsidRPr="00566F35" w:rsidRDefault="00434BFF" w:rsidP="005963CD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39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86CDCD" w14:textId="77777777" w:rsidR="006E49CD" w:rsidRPr="00566F35" w:rsidRDefault="00BC5614" w:rsidP="00FC1304">
            <w:pPr>
              <w:spacing w:before="120" w:after="120"/>
              <w:jc w:val="both"/>
              <w:rPr>
                <w:rFonts w:ascii="Garamond" w:hAnsi="Garamond" w:cs="Times New Roman"/>
              </w:rPr>
            </w:pPr>
            <w:r w:rsidRPr="00566F35">
              <w:rPr>
                <w:rFonts w:ascii="Garamond" w:hAnsi="Garamond" w:cs="Times New Roman"/>
              </w:rPr>
              <w:t>Możliwość generowania raportów z dowolnego okresu (dziennych, tygodniowych).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921F18" w14:textId="77777777" w:rsidR="006E49CD" w:rsidRPr="00566F35" w:rsidRDefault="006E49CD" w:rsidP="005963CD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BC5614" w:rsidRPr="00566F35" w14:paraId="5BFA9742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26B1D3" w14:textId="77777777" w:rsidR="00BC5614" w:rsidRPr="00566F35" w:rsidRDefault="00434BFF" w:rsidP="005963CD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40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80A9C5" w14:textId="77777777" w:rsidR="00BC5614" w:rsidRPr="00566F35" w:rsidRDefault="00BC5614" w:rsidP="00FC1304">
            <w:pPr>
              <w:spacing w:before="120" w:after="120"/>
              <w:jc w:val="both"/>
              <w:rPr>
                <w:rFonts w:ascii="Garamond" w:hAnsi="Garamond" w:cs="Times New Roman"/>
              </w:rPr>
            </w:pPr>
            <w:r w:rsidRPr="00566F35">
              <w:rPr>
                <w:rFonts w:ascii="Garamond" w:hAnsi="Garamond" w:cs="Times New Roman"/>
              </w:rPr>
              <w:t>Poziom hałasu nie większy niż 65 dB.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FDB44B" w14:textId="77777777" w:rsidR="00BC5614" w:rsidRPr="00566F35" w:rsidRDefault="00BC5614" w:rsidP="005963CD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BC5614" w:rsidRPr="00566F35" w14:paraId="3CA1489B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899C1D" w14:textId="77777777" w:rsidR="00BC5614" w:rsidRPr="00566F35" w:rsidRDefault="00434BFF" w:rsidP="005963CD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41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36D5E9" w14:textId="77777777" w:rsidR="00BC5614" w:rsidRPr="00566F35" w:rsidRDefault="003D1F2D" w:rsidP="00FC1304">
            <w:pPr>
              <w:spacing w:before="120" w:after="120"/>
              <w:jc w:val="both"/>
              <w:rPr>
                <w:rFonts w:ascii="Garamond" w:hAnsi="Garamond" w:cs="Times New Roman"/>
              </w:rPr>
            </w:pPr>
            <w:r w:rsidRPr="00566F35">
              <w:rPr>
                <w:rFonts w:ascii="Garamond" w:hAnsi="Garamond" w:cs="Times New Roman"/>
              </w:rPr>
              <w:t>Zewnętrzny UPS - pozwalające na podtrzymanie pracy urządzenia w przypadku zaniku zasilania do ok. 25 minut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B9092A" w14:textId="77777777" w:rsidR="00BC5614" w:rsidRPr="00566F35" w:rsidRDefault="00BC5614" w:rsidP="005963CD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D1F2D" w:rsidRPr="00566F35" w14:paraId="35F6F260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6B2C91" w14:textId="77777777" w:rsidR="003D1F2D" w:rsidRPr="00566F35" w:rsidRDefault="00434BFF" w:rsidP="005963CD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42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996A61" w14:textId="77777777" w:rsidR="002C4051" w:rsidRPr="00566F35" w:rsidRDefault="002C4051" w:rsidP="002C4051">
            <w:pPr>
              <w:spacing w:before="120" w:after="120"/>
              <w:jc w:val="both"/>
              <w:rPr>
                <w:rFonts w:ascii="Garamond" w:hAnsi="Garamond" w:cs="Times New Roman"/>
              </w:rPr>
            </w:pPr>
            <w:r w:rsidRPr="00566F35">
              <w:rPr>
                <w:rFonts w:ascii="Garamond" w:hAnsi="Garamond" w:cs="Times New Roman"/>
              </w:rPr>
              <w:t>Wyposażenie aparatu:</w:t>
            </w:r>
          </w:p>
          <w:p w14:paraId="7C92CB73" w14:textId="77777777" w:rsidR="002C4051" w:rsidRPr="00566F35" w:rsidRDefault="002C4051" w:rsidP="002C4051">
            <w:pPr>
              <w:spacing w:before="120" w:after="120"/>
              <w:jc w:val="both"/>
              <w:rPr>
                <w:rFonts w:ascii="Garamond" w:hAnsi="Garamond" w:cs="Times New Roman"/>
              </w:rPr>
            </w:pPr>
            <w:r w:rsidRPr="00566F35">
              <w:rPr>
                <w:rFonts w:ascii="Garamond" w:hAnsi="Garamond" w:cs="Times New Roman"/>
              </w:rPr>
              <w:t>4 tace na szkiełka</w:t>
            </w:r>
          </w:p>
          <w:p w14:paraId="2693EE2B" w14:textId="77777777" w:rsidR="002C4051" w:rsidRPr="00566F35" w:rsidRDefault="002C4051" w:rsidP="002C4051">
            <w:pPr>
              <w:spacing w:before="120" w:after="120"/>
              <w:jc w:val="both"/>
              <w:rPr>
                <w:rFonts w:ascii="Garamond" w:hAnsi="Garamond" w:cs="Times New Roman"/>
              </w:rPr>
            </w:pPr>
            <w:r w:rsidRPr="00566F35">
              <w:rPr>
                <w:rFonts w:ascii="Garamond" w:hAnsi="Garamond" w:cs="Times New Roman"/>
              </w:rPr>
              <w:lastRenderedPageBreak/>
              <w:t>4 tace na odczynniki w kontenerach</w:t>
            </w:r>
          </w:p>
          <w:p w14:paraId="1424B6F9" w14:textId="77777777" w:rsidR="002C4051" w:rsidRPr="00566F35" w:rsidRDefault="002C4051" w:rsidP="002C4051">
            <w:pPr>
              <w:spacing w:before="120" w:after="120"/>
              <w:jc w:val="both"/>
              <w:rPr>
                <w:rFonts w:ascii="Garamond" w:hAnsi="Garamond" w:cs="Times New Roman"/>
              </w:rPr>
            </w:pPr>
            <w:r w:rsidRPr="00566F35">
              <w:rPr>
                <w:rFonts w:ascii="Garamond" w:hAnsi="Garamond" w:cs="Times New Roman"/>
              </w:rPr>
              <w:t>1 uchwyt do czyszczenia nakładek</w:t>
            </w:r>
          </w:p>
          <w:p w14:paraId="5F8C2FA5" w14:textId="77777777" w:rsidR="002C4051" w:rsidRPr="00566F35" w:rsidRDefault="002C4051" w:rsidP="002C4051">
            <w:pPr>
              <w:spacing w:before="120" w:after="120"/>
              <w:jc w:val="both"/>
              <w:rPr>
                <w:rFonts w:ascii="Garamond" w:hAnsi="Garamond" w:cs="Times New Roman"/>
              </w:rPr>
            </w:pPr>
            <w:r w:rsidRPr="00566F35">
              <w:rPr>
                <w:rFonts w:ascii="Garamond" w:hAnsi="Garamond" w:cs="Times New Roman"/>
              </w:rPr>
              <w:t>1 stacja mieszania</w:t>
            </w:r>
          </w:p>
          <w:p w14:paraId="200CA7D5" w14:textId="77777777" w:rsidR="003D1F2D" w:rsidRPr="00566F35" w:rsidRDefault="002C4051" w:rsidP="002C4051">
            <w:pPr>
              <w:spacing w:before="120" w:after="120"/>
              <w:jc w:val="both"/>
              <w:rPr>
                <w:rFonts w:ascii="Garamond" w:hAnsi="Garamond" w:cs="Times New Roman"/>
              </w:rPr>
            </w:pPr>
            <w:r w:rsidRPr="00566F35">
              <w:rPr>
                <w:rFonts w:ascii="Garamond" w:hAnsi="Garamond" w:cs="Times New Roman"/>
              </w:rPr>
              <w:t>160 sztuk nakładek na szkiełka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8F5685" w14:textId="77777777" w:rsidR="003D1F2D" w:rsidRPr="00566F35" w:rsidRDefault="003D1F2D" w:rsidP="005963CD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D1F2D" w:rsidRPr="00566F35" w14:paraId="04361CE2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BD2058" w14:textId="77777777" w:rsidR="003D1F2D" w:rsidRPr="00566F35" w:rsidRDefault="00434BFF" w:rsidP="005963CD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43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8EB725" w14:textId="77777777" w:rsidR="002C4051" w:rsidRPr="00566F35" w:rsidRDefault="002C4051" w:rsidP="002C4051">
            <w:pPr>
              <w:spacing w:before="120" w:after="120"/>
              <w:jc w:val="both"/>
              <w:rPr>
                <w:rFonts w:ascii="Garamond" w:hAnsi="Garamond" w:cs="Times New Roman"/>
              </w:rPr>
            </w:pPr>
            <w:r w:rsidRPr="00566F35">
              <w:rPr>
                <w:rFonts w:ascii="Garamond" w:hAnsi="Garamond" w:cs="Times New Roman"/>
              </w:rPr>
              <w:t>Stacja robocza wyposażona w:</w:t>
            </w:r>
          </w:p>
          <w:p w14:paraId="6D14E4D9" w14:textId="77777777" w:rsidR="002C4051" w:rsidRPr="00566F35" w:rsidRDefault="002C4051" w:rsidP="002C4051">
            <w:pPr>
              <w:spacing w:before="120" w:after="120"/>
              <w:jc w:val="both"/>
              <w:rPr>
                <w:rFonts w:ascii="Garamond" w:hAnsi="Garamond" w:cs="Times New Roman"/>
              </w:rPr>
            </w:pPr>
            <w:r w:rsidRPr="00566F35">
              <w:rPr>
                <w:rFonts w:ascii="Garamond" w:hAnsi="Garamond" w:cs="Times New Roman"/>
              </w:rPr>
              <w:t>a. Komputer, klawiatura, myszka i monitor</w:t>
            </w:r>
          </w:p>
          <w:p w14:paraId="559C53F0" w14:textId="77777777" w:rsidR="002C4051" w:rsidRPr="00566F35" w:rsidRDefault="002C4051" w:rsidP="002C4051">
            <w:pPr>
              <w:spacing w:before="120" w:after="120"/>
              <w:jc w:val="both"/>
              <w:rPr>
                <w:rFonts w:ascii="Garamond" w:hAnsi="Garamond" w:cs="Times New Roman"/>
              </w:rPr>
            </w:pPr>
            <w:r w:rsidRPr="00566F35">
              <w:rPr>
                <w:rFonts w:ascii="Garamond" w:hAnsi="Garamond" w:cs="Times New Roman"/>
              </w:rPr>
              <w:t>b. Skaner kodów 2D</w:t>
            </w:r>
          </w:p>
          <w:p w14:paraId="694D08CF" w14:textId="77777777" w:rsidR="003D1F2D" w:rsidRPr="00566F35" w:rsidRDefault="002C4051" w:rsidP="002C4051">
            <w:pPr>
              <w:spacing w:before="120" w:after="120"/>
              <w:jc w:val="both"/>
              <w:rPr>
                <w:rFonts w:ascii="Garamond" w:hAnsi="Garamond" w:cs="Times New Roman"/>
              </w:rPr>
            </w:pPr>
            <w:r w:rsidRPr="00566F35">
              <w:rPr>
                <w:rFonts w:ascii="Garamond" w:hAnsi="Garamond" w:cs="Times New Roman"/>
              </w:rPr>
              <w:t>c. Drukarka do etykiet z zapasem około 3000 etykiet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57D93F" w14:textId="77777777" w:rsidR="003D1F2D" w:rsidRPr="00566F35" w:rsidRDefault="003D1F2D" w:rsidP="005963CD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3D1F2D" w:rsidRPr="00566F35" w14:paraId="1FA81388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FEB928" w14:textId="77777777" w:rsidR="003D1F2D" w:rsidRPr="00566F35" w:rsidRDefault="00434BFF" w:rsidP="005963CD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44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121012" w14:textId="043EFD87" w:rsidR="003D1F2D" w:rsidRPr="00566F35" w:rsidRDefault="002C4051" w:rsidP="00FC1304">
            <w:pPr>
              <w:spacing w:before="120" w:after="120"/>
              <w:jc w:val="both"/>
              <w:rPr>
                <w:rFonts w:ascii="Garamond" w:hAnsi="Garamond" w:cs="Times New Roman"/>
              </w:rPr>
            </w:pPr>
            <w:r w:rsidRPr="00566F35">
              <w:rPr>
                <w:rFonts w:ascii="Garamond" w:hAnsi="Garamond" w:cs="Times New Roman"/>
              </w:rPr>
              <w:t xml:space="preserve">Wymiary nie większe niż: 790 × </w:t>
            </w:r>
            <w:r w:rsidR="00E469FB" w:rsidRPr="001E475C">
              <w:rPr>
                <w:rFonts w:ascii="Garamond" w:hAnsi="Garamond" w:cs="Times New Roman"/>
              </w:rPr>
              <w:t>826</w:t>
            </w:r>
            <w:r w:rsidR="00E469FB">
              <w:rPr>
                <w:rFonts w:ascii="Garamond" w:hAnsi="Garamond" w:cs="Times New Roman"/>
              </w:rPr>
              <w:t xml:space="preserve"> </w:t>
            </w:r>
            <w:r w:rsidRPr="00566F35">
              <w:rPr>
                <w:rFonts w:ascii="Garamond" w:hAnsi="Garamond" w:cs="Times New Roman"/>
              </w:rPr>
              <w:t>× 1380 mm (szer. × gł. × wys.)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FF4288" w14:textId="77777777" w:rsidR="003D1F2D" w:rsidRPr="00566F35" w:rsidRDefault="003D1F2D" w:rsidP="005963CD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2C4051" w:rsidRPr="00566F35" w14:paraId="2EB98C3C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01FDC2" w14:textId="77777777" w:rsidR="002C4051" w:rsidRPr="00566F35" w:rsidRDefault="00434BFF" w:rsidP="005963CD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45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70BB89" w14:textId="77777777" w:rsidR="002C4051" w:rsidRPr="00566F35" w:rsidRDefault="002C4051" w:rsidP="00FC1304">
            <w:pPr>
              <w:spacing w:before="120" w:after="120"/>
              <w:jc w:val="both"/>
              <w:rPr>
                <w:rFonts w:ascii="Garamond" w:hAnsi="Garamond" w:cs="Times New Roman"/>
              </w:rPr>
            </w:pPr>
            <w:r w:rsidRPr="00566F35">
              <w:rPr>
                <w:rFonts w:ascii="Garamond" w:hAnsi="Garamond" w:cs="Times New Roman"/>
              </w:rPr>
              <w:t>Maksymalna masa urządzenia: 240 kg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D78295" w14:textId="77777777" w:rsidR="002C4051" w:rsidRPr="00566F35" w:rsidRDefault="002C4051" w:rsidP="005963CD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FC1304" w:rsidRPr="00566F35" w14:paraId="219E26C3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45A82D" w14:textId="77777777" w:rsidR="00FC1304" w:rsidRPr="00566F35" w:rsidRDefault="00434BFF" w:rsidP="005963CD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46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5179AC" w14:textId="77777777" w:rsidR="00FC1304" w:rsidRPr="00566F35" w:rsidRDefault="00E917C8" w:rsidP="00F417A4">
            <w:pPr>
              <w:spacing w:after="240"/>
              <w:jc w:val="both"/>
              <w:rPr>
                <w:rFonts w:ascii="Garamond" w:hAnsi="Garamond" w:cs="Times New Roman"/>
              </w:rPr>
            </w:pPr>
            <w:r w:rsidRPr="00566F35">
              <w:rPr>
                <w:rFonts w:ascii="Garamond" w:hAnsi="Garamond" w:cs="Times New Roman"/>
              </w:rPr>
              <w:t>Urządzenia fabrycznie nowe, rok produkcji nie starszy niż 2024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B5A596" w14:textId="77777777" w:rsidR="00FC1304" w:rsidRPr="00566F35" w:rsidRDefault="00FC1304" w:rsidP="005963CD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</w:tbl>
    <w:p w14:paraId="3F0B22DF" w14:textId="3CEA8C67" w:rsidR="00A323F2" w:rsidRDefault="00A323F2" w:rsidP="00E917C8">
      <w:pPr>
        <w:rPr>
          <w:rFonts w:ascii="Garamond" w:hAnsi="Garamond" w:cs="Times New Roman"/>
          <w:b/>
        </w:rPr>
      </w:pPr>
    </w:p>
    <w:p w14:paraId="0D19251C" w14:textId="77777777" w:rsidR="00B32716" w:rsidRPr="00566F35" w:rsidRDefault="00B32716" w:rsidP="00E917C8">
      <w:pPr>
        <w:rPr>
          <w:rFonts w:ascii="Garamond" w:hAnsi="Garamond" w:cs="Times New Roman"/>
          <w:b/>
        </w:rPr>
      </w:pPr>
    </w:p>
    <w:p w14:paraId="377AFA39" w14:textId="55F8F978" w:rsidR="00E917C8" w:rsidRPr="001B179B" w:rsidRDefault="001B179B" w:rsidP="001B179B">
      <w:pPr>
        <w:spacing w:before="120" w:after="120"/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 xml:space="preserve">2. </w:t>
      </w:r>
      <w:r w:rsidR="0087070C" w:rsidRPr="001B179B">
        <w:rPr>
          <w:rFonts w:ascii="Garamond" w:hAnsi="Garamond"/>
          <w:b/>
          <w:u w:val="single"/>
        </w:rPr>
        <w:t xml:space="preserve">Wymagania dla  obsługi serwisowej i wsparcia: </w:t>
      </w:r>
    </w:p>
    <w:tbl>
      <w:tblPr>
        <w:tblW w:w="1019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92"/>
        <w:gridCol w:w="8196"/>
        <w:gridCol w:w="1510"/>
      </w:tblGrid>
      <w:tr w:rsidR="00E917C8" w:rsidRPr="00566F35" w14:paraId="19DB3F7F" w14:textId="77777777" w:rsidTr="0092722A">
        <w:trPr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3DE2B89" w14:textId="77777777" w:rsidR="00E917C8" w:rsidRPr="00A323F2" w:rsidRDefault="00E917C8" w:rsidP="005A65DF">
            <w:pPr>
              <w:jc w:val="center"/>
              <w:rPr>
                <w:rFonts w:ascii="Garamond" w:eastAsia="Times New Roman" w:hAnsi="Garamond" w:cs="Times New Roman"/>
              </w:rPr>
            </w:pPr>
            <w:r w:rsidRPr="00A323F2">
              <w:rPr>
                <w:rFonts w:ascii="Garamond" w:eastAsia="Times New Roman" w:hAnsi="Garamond" w:cs="Times New Roman"/>
              </w:rPr>
              <w:t>Lp.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D38DD8A" w14:textId="77777777" w:rsidR="00E917C8" w:rsidRPr="00A323F2" w:rsidRDefault="00E917C8" w:rsidP="005A65DF">
            <w:pPr>
              <w:keepNext/>
              <w:jc w:val="center"/>
              <w:outlineLvl w:val="2"/>
              <w:rPr>
                <w:rFonts w:ascii="Garamond" w:eastAsia="Times New Roman" w:hAnsi="Garamond" w:cs="Times New Roman"/>
              </w:rPr>
            </w:pPr>
            <w:r w:rsidRPr="00A323F2">
              <w:rPr>
                <w:rFonts w:ascii="Garamond" w:eastAsia="Times New Roman" w:hAnsi="Garamond" w:cs="Times New Roman"/>
              </w:rPr>
              <w:t>Nazwa parametru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997EEDF" w14:textId="77777777" w:rsidR="00E917C8" w:rsidRPr="00B54284" w:rsidRDefault="00E917C8" w:rsidP="005A65DF">
            <w:pPr>
              <w:jc w:val="center"/>
              <w:rPr>
                <w:rFonts w:ascii="Garamond" w:eastAsia="Times New Roman" w:hAnsi="Garamond" w:cs="Times New Roman"/>
                <w:b/>
              </w:rPr>
            </w:pPr>
            <w:r w:rsidRPr="00B54284">
              <w:rPr>
                <w:rFonts w:ascii="Garamond" w:eastAsia="Times New Roman" w:hAnsi="Garamond" w:cs="Times New Roman"/>
                <w:b/>
              </w:rPr>
              <w:t>Potwierdzenie spełnienia</w:t>
            </w:r>
          </w:p>
          <w:p w14:paraId="24B39EAE" w14:textId="77777777" w:rsidR="00E917C8" w:rsidRPr="00A323F2" w:rsidRDefault="00E917C8" w:rsidP="005A65DF">
            <w:pPr>
              <w:jc w:val="center"/>
              <w:rPr>
                <w:rFonts w:ascii="Garamond" w:eastAsia="Times New Roman" w:hAnsi="Garamond" w:cs="Times New Roman"/>
              </w:rPr>
            </w:pPr>
            <w:r w:rsidRPr="00A323F2">
              <w:rPr>
                <w:rFonts w:ascii="Garamond" w:eastAsia="Times New Roman" w:hAnsi="Garamond" w:cs="Times New Roman"/>
                <w:color w:val="0070C0"/>
              </w:rPr>
              <w:t>(należy wpisać Tak lub Nie)*</w:t>
            </w:r>
          </w:p>
        </w:tc>
      </w:tr>
      <w:tr w:rsidR="00E917C8" w:rsidRPr="00566F35" w14:paraId="58F1C401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1FAD27" w14:textId="77777777" w:rsidR="00E917C8" w:rsidRPr="00566F35" w:rsidRDefault="00AA401D" w:rsidP="005A65DF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1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42659E" w14:textId="77777777" w:rsidR="00E917C8" w:rsidRPr="00566F35" w:rsidRDefault="00AA401D" w:rsidP="002C4051">
            <w:pPr>
              <w:spacing w:before="120" w:after="120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hAnsi="Garamond" w:cs="Times New Roman"/>
              </w:rPr>
              <w:t>Wprowadzenie podstawowych protokołów barwień immunohistochemicznych, hybrydyzacji in situ,</w:t>
            </w:r>
            <w:r w:rsidR="00BF7B7F" w:rsidRPr="00566F35">
              <w:rPr>
                <w:rFonts w:ascii="Garamond" w:hAnsi="Garamond" w:cs="Times New Roman"/>
              </w:rPr>
              <w:t xml:space="preserve"> b</w:t>
            </w:r>
            <w:r w:rsidRPr="00566F35">
              <w:rPr>
                <w:rFonts w:ascii="Garamond" w:hAnsi="Garamond" w:cs="Times New Roman"/>
              </w:rPr>
              <w:t xml:space="preserve">ezpośrednio przez specjalistę aplikacyjnego na miejscu u Zamawiającego 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13DEE" w14:textId="77777777" w:rsidR="00E917C8" w:rsidRPr="00566F35" w:rsidRDefault="00E917C8" w:rsidP="005A65DF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E917C8" w:rsidRPr="00566F35" w14:paraId="5ADBAE71" w14:textId="77777777" w:rsidTr="0092722A">
        <w:trPr>
          <w:trHeight w:val="491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F92D75" w14:textId="77777777" w:rsidR="00E917C8" w:rsidRPr="00566F35" w:rsidRDefault="00AA401D" w:rsidP="005A65DF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2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51CC33" w14:textId="77777777" w:rsidR="00E917C8" w:rsidRPr="00566F35" w:rsidRDefault="00AA401D" w:rsidP="002C4051">
            <w:pPr>
              <w:spacing w:before="120" w:after="120"/>
              <w:jc w:val="both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hAnsi="Garamond" w:cs="Times New Roman"/>
              </w:rPr>
              <w:t>Walidacja protokołów barwienia po stronie Wykonawcy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13B38B" w14:textId="77777777" w:rsidR="00E917C8" w:rsidRPr="00566F35" w:rsidRDefault="00E917C8" w:rsidP="005A65DF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E917C8" w:rsidRPr="00566F35" w14:paraId="379B8DF6" w14:textId="77777777" w:rsidTr="0092722A">
        <w:trPr>
          <w:trHeight w:val="77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C001D0" w14:textId="77777777" w:rsidR="00E917C8" w:rsidRPr="00566F35" w:rsidRDefault="00AA401D" w:rsidP="005A65DF">
            <w:pPr>
              <w:spacing w:line="150" w:lineRule="atLeast"/>
              <w:jc w:val="center"/>
              <w:rPr>
                <w:rFonts w:ascii="Garamond" w:eastAsia="Times New Roman" w:hAnsi="Garamond" w:cs="Times New Roman"/>
                <w:color w:val="000000"/>
              </w:rPr>
            </w:pPr>
            <w:r w:rsidRPr="00566F35">
              <w:rPr>
                <w:rFonts w:ascii="Garamond" w:eastAsia="Times New Roman" w:hAnsi="Garamond" w:cs="Times New Roman"/>
                <w:color w:val="000000"/>
              </w:rPr>
              <w:t>3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125D75" w14:textId="04EF6D9E" w:rsidR="00E917C8" w:rsidRPr="00566F35" w:rsidRDefault="00C30133" w:rsidP="004B7B87">
            <w:pPr>
              <w:rPr>
                <w:rFonts w:ascii="Garamond" w:eastAsia="Times New Roman" w:hAnsi="Garamond" w:cs="Times New Roman"/>
                <w:color w:val="000000"/>
              </w:rPr>
            </w:pPr>
            <w:r w:rsidRPr="00566F35">
              <w:rPr>
                <w:rFonts w:ascii="Garamond" w:hAnsi="Garamond" w:cs="Times New Roman"/>
              </w:rPr>
              <w:t xml:space="preserve">Wykonawca zobowiąże się </w:t>
            </w:r>
            <w:r w:rsidR="00E27652">
              <w:rPr>
                <w:rFonts w:ascii="Garamond" w:hAnsi="Garamond" w:cs="Times New Roman"/>
              </w:rPr>
              <w:t xml:space="preserve">w cenie oferty </w:t>
            </w:r>
            <w:r w:rsidRPr="00566F35">
              <w:rPr>
                <w:rFonts w:ascii="Garamond" w:hAnsi="Garamond" w:cs="Times New Roman"/>
              </w:rPr>
              <w:t>do integracji aparatu z</w:t>
            </w:r>
            <w:r w:rsidR="00AA401D" w:rsidRPr="00566F35">
              <w:rPr>
                <w:rFonts w:ascii="Garamond" w:hAnsi="Garamond" w:cs="Times New Roman"/>
              </w:rPr>
              <w:t xml:space="preserve"> system</w:t>
            </w:r>
            <w:r w:rsidRPr="00566F35">
              <w:rPr>
                <w:rFonts w:ascii="Garamond" w:hAnsi="Garamond" w:cs="Times New Roman"/>
              </w:rPr>
              <w:t>em</w:t>
            </w:r>
            <w:r w:rsidR="00EC557B">
              <w:rPr>
                <w:rFonts w:ascii="Garamond" w:hAnsi="Garamond" w:cs="Times New Roman"/>
              </w:rPr>
              <w:t xml:space="preserve"> informatycznym </w:t>
            </w:r>
            <w:r w:rsidR="00AA401D" w:rsidRPr="00566F35">
              <w:rPr>
                <w:rFonts w:ascii="Garamond" w:hAnsi="Garamond" w:cs="Times New Roman"/>
              </w:rPr>
              <w:t xml:space="preserve"> funkcjonując</w:t>
            </w:r>
            <w:r w:rsidRPr="00566F35">
              <w:rPr>
                <w:rFonts w:ascii="Garamond" w:hAnsi="Garamond" w:cs="Times New Roman"/>
              </w:rPr>
              <w:t>ym</w:t>
            </w:r>
            <w:r w:rsidR="00AA401D" w:rsidRPr="00566F35">
              <w:rPr>
                <w:rFonts w:ascii="Garamond" w:hAnsi="Garamond" w:cs="Times New Roman"/>
              </w:rPr>
              <w:t xml:space="preserve"> w Zakładzie Patomorfologii </w:t>
            </w:r>
            <w:r w:rsidR="009868F4" w:rsidRPr="004B7B87">
              <w:rPr>
                <w:rStyle w:val="Odwoaniedokomentarza"/>
                <w:color w:val="000000" w:themeColor="text1"/>
              </w:rPr>
              <w:t>(</w:t>
            </w:r>
            <w:r w:rsidR="009868F4" w:rsidRPr="004B7B87">
              <w:rPr>
                <w:rStyle w:val="Odwoaniedokomentarza"/>
                <w:color w:val="000000" w:themeColor="text1"/>
                <w:sz w:val="22"/>
                <w:szCs w:val="22"/>
              </w:rPr>
              <w:t>PatARCH)</w:t>
            </w:r>
            <w:r w:rsidR="00AA401D" w:rsidRPr="004B7B87">
              <w:rPr>
                <w:rFonts w:ascii="Garamond" w:hAnsi="Garamond" w:cs="Times New Roman"/>
                <w:color w:val="000000" w:themeColor="text1"/>
              </w:rPr>
              <w:t>Zamawiającego, w sposób umożliwiający min. identyfikację próbki na każdym etapie procesu, w tym podczas obsługi na dostarczanym aparacie jak i po jej zakończeniu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823A1" w14:textId="77777777" w:rsidR="00E917C8" w:rsidRPr="00566F35" w:rsidRDefault="00E917C8" w:rsidP="005A65DF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E917C8" w:rsidRPr="00566F35" w14:paraId="26BBCA1D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A1F23A" w14:textId="77777777" w:rsidR="00E917C8" w:rsidRPr="00566F35" w:rsidRDefault="00AA401D" w:rsidP="005A65DF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4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D68F70" w14:textId="704D0124" w:rsidR="00E917C8" w:rsidRPr="00566F35" w:rsidRDefault="00AA401D" w:rsidP="004B7B87">
            <w:pPr>
              <w:spacing w:before="120" w:after="120"/>
              <w:jc w:val="both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hAnsi="Garamond" w:cs="Times New Roman"/>
              </w:rPr>
              <w:t xml:space="preserve">Coroczny przegląd techniczny będzie wykonywał właściciel aparatów </w:t>
            </w:r>
            <w:r w:rsidR="00E27652">
              <w:rPr>
                <w:rFonts w:ascii="Garamond" w:hAnsi="Garamond" w:cs="Times New Roman"/>
              </w:rPr>
              <w:t xml:space="preserve">w cenie oferty 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9728A" w14:textId="77777777" w:rsidR="00E917C8" w:rsidRPr="00566F35" w:rsidRDefault="00E917C8" w:rsidP="005A65DF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E917C8" w:rsidRPr="00566F35" w14:paraId="2B8079AE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4573EF" w14:textId="77777777" w:rsidR="00E917C8" w:rsidRPr="00566F35" w:rsidRDefault="00AA401D" w:rsidP="005A65DF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5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C7D508C" w14:textId="5531AB80" w:rsidR="00E917C8" w:rsidRPr="00566F35" w:rsidRDefault="00AA401D" w:rsidP="004B7B87">
            <w:pPr>
              <w:spacing w:before="120" w:after="120"/>
              <w:jc w:val="both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hAnsi="Garamond" w:cs="Times New Roman"/>
              </w:rPr>
              <w:t>Wykonawca zobowiąże się</w:t>
            </w:r>
            <w:r w:rsidR="00E27652">
              <w:rPr>
                <w:rFonts w:ascii="Garamond" w:hAnsi="Garamond" w:cs="Times New Roman"/>
              </w:rPr>
              <w:t xml:space="preserve"> w cenie oferty</w:t>
            </w:r>
            <w:r w:rsidRPr="00566F35">
              <w:rPr>
                <w:rFonts w:ascii="Garamond" w:hAnsi="Garamond" w:cs="Times New Roman"/>
              </w:rPr>
              <w:t xml:space="preserve"> do wsparcia aplikacyjnego oraz merytorycznego w zakresie wyboru przeciwciał i optymalizacji protokołów diagnostycznych, w trakcie trwania umowy 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87D198" w14:textId="77777777" w:rsidR="00E917C8" w:rsidRPr="00566F35" w:rsidRDefault="00E917C8" w:rsidP="005A65DF">
            <w:pPr>
              <w:jc w:val="center"/>
              <w:rPr>
                <w:rFonts w:ascii="Garamond" w:eastAsia="Times New Roman" w:hAnsi="Garamond" w:cs="Times New Roman"/>
                <w:highlight w:val="yellow"/>
              </w:rPr>
            </w:pPr>
          </w:p>
        </w:tc>
      </w:tr>
      <w:tr w:rsidR="00E917C8" w:rsidRPr="00566F35" w14:paraId="03EE5D74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C8CA4B" w14:textId="77777777" w:rsidR="00E917C8" w:rsidRPr="00566F35" w:rsidRDefault="00AA401D" w:rsidP="005A65DF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lastRenderedPageBreak/>
              <w:t>6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05A765" w14:textId="6D8D3D37" w:rsidR="00E917C8" w:rsidRPr="00566F35" w:rsidRDefault="00AA401D" w:rsidP="004B7B87">
            <w:pPr>
              <w:spacing w:before="120" w:after="120"/>
              <w:jc w:val="both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hAnsi="Garamond" w:cs="Times New Roman"/>
              </w:rPr>
              <w:t xml:space="preserve">Wykonawca zobowiązuje się </w:t>
            </w:r>
            <w:r w:rsidR="00E27652">
              <w:rPr>
                <w:rFonts w:ascii="Garamond" w:hAnsi="Garamond" w:cs="Times New Roman"/>
              </w:rPr>
              <w:t xml:space="preserve">w cenie oferty </w:t>
            </w:r>
            <w:r w:rsidRPr="00566F35">
              <w:rPr>
                <w:rFonts w:ascii="Garamond" w:hAnsi="Garamond" w:cs="Times New Roman"/>
              </w:rPr>
              <w:t>do obsługi serwisowej i innych czynności wymaganych przy obsłudze aparatów w ramach umowy dzierżawy przez cały okres trwania umowy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382D0" w14:textId="77777777" w:rsidR="00E917C8" w:rsidRPr="00566F35" w:rsidRDefault="00E917C8" w:rsidP="005A65DF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E917C8" w:rsidRPr="00566F35" w14:paraId="5BA9DDC1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83D03A" w14:textId="77777777" w:rsidR="00E917C8" w:rsidRPr="00566F35" w:rsidRDefault="00AA401D" w:rsidP="005A65DF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7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D83DE6" w14:textId="6BF282D9" w:rsidR="00E917C8" w:rsidRPr="00566F35" w:rsidRDefault="00AA401D" w:rsidP="00021955">
            <w:pPr>
              <w:spacing w:before="120" w:after="120"/>
              <w:jc w:val="both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hAnsi="Garamond" w:cs="Times New Roman"/>
              </w:rPr>
              <w:t>Czas reakcji serwisowej</w:t>
            </w:r>
            <w:r w:rsidR="00817A81">
              <w:rPr>
                <w:rFonts w:ascii="Garamond" w:hAnsi="Garamond" w:cs="Times New Roman"/>
              </w:rPr>
              <w:t xml:space="preserve"> </w:t>
            </w:r>
            <w:r w:rsidR="00B85AAB" w:rsidRPr="001E475C">
              <w:rPr>
                <w:rFonts w:ascii="Garamond" w:hAnsi="Garamond" w:cs="Times New Roman"/>
              </w:rPr>
              <w:t>(</w:t>
            </w:r>
            <w:r w:rsidR="00817A81" w:rsidRPr="001E475C">
              <w:rPr>
                <w:rFonts w:ascii="Garamond" w:hAnsi="Garamond" w:cs="Times New Roman"/>
              </w:rPr>
              <w:t>kontakt zdalny oraz telefoniczny)</w:t>
            </w:r>
            <w:r w:rsidRPr="001E475C">
              <w:rPr>
                <w:rFonts w:ascii="Garamond" w:hAnsi="Garamond" w:cs="Times New Roman"/>
              </w:rPr>
              <w:t xml:space="preserve"> </w:t>
            </w:r>
            <w:r w:rsidRPr="00566F35">
              <w:rPr>
                <w:rFonts w:ascii="Garamond" w:hAnsi="Garamond" w:cs="Times New Roman"/>
              </w:rPr>
              <w:t>nie dłużej niż 24 godziny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B91EC" w14:textId="77777777" w:rsidR="00E917C8" w:rsidRPr="00566F35" w:rsidRDefault="00E917C8" w:rsidP="005A65DF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E917C8" w:rsidRPr="00566F35" w14:paraId="19B28135" w14:textId="77777777" w:rsidTr="0092722A">
        <w:trPr>
          <w:trHeight w:val="150"/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AD18D8" w14:textId="77777777" w:rsidR="00E917C8" w:rsidRPr="00566F35" w:rsidRDefault="00AA401D" w:rsidP="005A65DF">
            <w:pPr>
              <w:spacing w:line="150" w:lineRule="atLeast"/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8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9EE73D" w14:textId="77777777" w:rsidR="00E917C8" w:rsidRPr="00566F35" w:rsidRDefault="00AA401D" w:rsidP="00434BFF">
            <w:pPr>
              <w:spacing w:before="120" w:after="120"/>
              <w:jc w:val="both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hAnsi="Garamond" w:cs="Times New Roman"/>
              </w:rPr>
              <w:t xml:space="preserve">Wykonawca zobowiązany jest do niezwłocznego usunięcia wszelkich wad i usterek aparatów w ciągu </w:t>
            </w:r>
            <w:r w:rsidR="00F417A4" w:rsidRPr="00566F35">
              <w:rPr>
                <w:rFonts w:ascii="Garamond" w:hAnsi="Garamond" w:cs="Times New Roman"/>
              </w:rPr>
              <w:t>5 dni roboczych</w:t>
            </w:r>
            <w:r w:rsidRPr="00566F35">
              <w:rPr>
                <w:rFonts w:ascii="Garamond" w:hAnsi="Garamond" w:cs="Times New Roman"/>
              </w:rPr>
              <w:t xml:space="preserve">, jeśli usunięcie usterki w tym czasie jest niemożliwe </w:t>
            </w:r>
            <w:r w:rsidR="00434BFF" w:rsidRPr="00566F35">
              <w:rPr>
                <w:rFonts w:ascii="Garamond" w:hAnsi="Garamond" w:cs="Times New Roman"/>
              </w:rPr>
              <w:t xml:space="preserve">Zamawiający </w:t>
            </w:r>
            <w:r w:rsidR="00021955" w:rsidRPr="00566F35">
              <w:rPr>
                <w:rFonts w:ascii="Garamond" w:hAnsi="Garamond" w:cs="Times New Roman"/>
              </w:rPr>
              <w:t>zastrzega sobie prawo do skorzystania z wykonania zastępczego polegającego na wykonaniu odczynów u podmiotu trzeciego do czasu usunięcia usterki lub dostarczenia i uruchomienia sprzętu o nie gorszych parametrach. Zamawiający poinformuje o tym uprzednio Wykonawcę pocztą elektroniczną na adres e-mail osoby odpowiedzialnej za realizację</w:t>
            </w:r>
            <w:r w:rsidRPr="00566F35">
              <w:rPr>
                <w:rFonts w:ascii="Garamond" w:hAnsi="Garamond" w:cs="Times New Roman"/>
              </w:rPr>
              <w:t>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A0804" w14:textId="77777777" w:rsidR="00E917C8" w:rsidRPr="00566F35" w:rsidRDefault="00E917C8" w:rsidP="005A65DF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</w:tbl>
    <w:p w14:paraId="3B69C64F" w14:textId="62D43355" w:rsidR="00AA401D" w:rsidRPr="00566F35" w:rsidRDefault="00AA401D">
      <w:pPr>
        <w:rPr>
          <w:rFonts w:ascii="Garamond" w:hAnsi="Garamond" w:cs="Times New Roman"/>
        </w:rPr>
      </w:pPr>
    </w:p>
    <w:p w14:paraId="63E98C8E" w14:textId="53F9BFAA" w:rsidR="00AA401D" w:rsidRPr="001B179B" w:rsidRDefault="001B179B" w:rsidP="001B179B">
      <w:pPr>
        <w:spacing w:before="120" w:after="120"/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 xml:space="preserve">3. </w:t>
      </w:r>
      <w:r w:rsidR="00AA401D" w:rsidRPr="001B179B">
        <w:rPr>
          <w:rFonts w:ascii="Garamond" w:hAnsi="Garamond"/>
          <w:b/>
          <w:u w:val="single"/>
        </w:rPr>
        <w:t>Inne wymagania:</w:t>
      </w:r>
    </w:p>
    <w:tbl>
      <w:tblPr>
        <w:tblW w:w="1019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92"/>
        <w:gridCol w:w="8196"/>
        <w:gridCol w:w="1510"/>
      </w:tblGrid>
      <w:tr w:rsidR="00AA401D" w:rsidRPr="00566F35" w14:paraId="58FE5937" w14:textId="77777777" w:rsidTr="0092722A">
        <w:trPr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1C204D9" w14:textId="77777777" w:rsidR="00AA401D" w:rsidRPr="00566F35" w:rsidRDefault="00AA401D" w:rsidP="005A65DF">
            <w:pPr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Lp.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B40A377" w14:textId="77777777" w:rsidR="00AA401D" w:rsidRPr="00566F35" w:rsidRDefault="00AA401D" w:rsidP="005A65DF">
            <w:pPr>
              <w:keepNext/>
              <w:jc w:val="center"/>
              <w:outlineLvl w:val="2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Nazwa parametru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9CBF3A1" w14:textId="77777777" w:rsidR="00AA401D" w:rsidRPr="00B54284" w:rsidRDefault="00AA401D" w:rsidP="005A65DF">
            <w:pPr>
              <w:jc w:val="center"/>
              <w:rPr>
                <w:rFonts w:ascii="Garamond" w:eastAsia="Times New Roman" w:hAnsi="Garamond" w:cs="Times New Roman"/>
                <w:b/>
              </w:rPr>
            </w:pPr>
            <w:r w:rsidRPr="00B54284">
              <w:rPr>
                <w:rFonts w:ascii="Garamond" w:eastAsia="Times New Roman" w:hAnsi="Garamond" w:cs="Times New Roman"/>
                <w:b/>
              </w:rPr>
              <w:t>Potwierdzenie spełnienia</w:t>
            </w:r>
          </w:p>
          <w:p w14:paraId="004E5ACF" w14:textId="77777777" w:rsidR="00AA401D" w:rsidRPr="00566F35" w:rsidRDefault="00AA401D" w:rsidP="005A65DF">
            <w:pPr>
              <w:jc w:val="center"/>
              <w:rPr>
                <w:rFonts w:ascii="Garamond" w:eastAsia="Times New Roman" w:hAnsi="Garamond" w:cs="Times New Roman"/>
              </w:rPr>
            </w:pPr>
            <w:r w:rsidRPr="005824A5">
              <w:rPr>
                <w:rFonts w:ascii="Garamond" w:eastAsia="Times New Roman" w:hAnsi="Garamond" w:cs="Times New Roman"/>
                <w:color w:val="0070C0"/>
              </w:rPr>
              <w:t>(należy wpisać Tak lub Nie)*</w:t>
            </w:r>
          </w:p>
        </w:tc>
      </w:tr>
      <w:tr w:rsidR="00AA401D" w:rsidRPr="00566F35" w14:paraId="358066F8" w14:textId="77777777" w:rsidTr="0092722A">
        <w:trPr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B17EA8" w14:textId="77777777" w:rsidR="00AA401D" w:rsidRPr="00566F35" w:rsidRDefault="00B00FE7" w:rsidP="005A65DF">
            <w:pPr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1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54B592" w14:textId="77777777" w:rsidR="00AA401D" w:rsidRPr="00566F35" w:rsidRDefault="00AA401D" w:rsidP="004043E0">
            <w:pPr>
              <w:spacing w:before="120" w:after="120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hAnsi="Garamond" w:cs="Times New Roman"/>
              </w:rPr>
              <w:t xml:space="preserve">Wykonawca zobowiązuje się do dostarczenia wszystkich zamawianych odczynników z terminem ważności minimum 6 miesięcy 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C660E7" w14:textId="77777777" w:rsidR="00AA401D" w:rsidRPr="00566F35" w:rsidRDefault="00AA401D" w:rsidP="005A65DF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AA401D" w:rsidRPr="00566F35" w14:paraId="3C35C9FD" w14:textId="77777777" w:rsidTr="0092722A">
        <w:trPr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FB04E6" w14:textId="77777777" w:rsidR="00AA401D" w:rsidRPr="00566F35" w:rsidRDefault="00B00FE7" w:rsidP="005A65DF">
            <w:pPr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2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F7A600" w14:textId="5E726083" w:rsidR="00AA401D" w:rsidRPr="00566F35" w:rsidRDefault="00AA401D" w:rsidP="004B7B87">
            <w:pPr>
              <w:spacing w:before="120" w:after="120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hAnsi="Garamond" w:cs="Times New Roman"/>
              </w:rPr>
              <w:t xml:space="preserve">Wykonawca zobowiązuje się do dostarczenia </w:t>
            </w:r>
            <w:r w:rsidR="005824A5">
              <w:rPr>
                <w:rFonts w:ascii="Garamond" w:hAnsi="Garamond" w:cs="Times New Roman"/>
              </w:rPr>
              <w:t xml:space="preserve">w cenie oferty </w:t>
            </w:r>
            <w:r w:rsidRPr="00566F35">
              <w:rPr>
                <w:rFonts w:ascii="Garamond" w:hAnsi="Garamond" w:cs="Times New Roman"/>
              </w:rPr>
              <w:t>zestawu startowego odczynników koniecznych do walidacji i wdrożenia protokołów barwień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A81B8D" w14:textId="77777777" w:rsidR="00AA401D" w:rsidRPr="00566F35" w:rsidRDefault="00AA401D" w:rsidP="005A65DF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8922BA" w:rsidRPr="00566F35" w14:paraId="3A0862C8" w14:textId="77777777" w:rsidTr="0092722A">
        <w:trPr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92B99C" w14:textId="77777777" w:rsidR="008922BA" w:rsidRPr="00566F35" w:rsidRDefault="008922BA" w:rsidP="005A65DF">
            <w:pPr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3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E7998B" w14:textId="3CC51E4B" w:rsidR="008922BA" w:rsidRPr="00566F35" w:rsidRDefault="008922BA" w:rsidP="00434BFF">
            <w:pPr>
              <w:spacing w:after="0"/>
              <w:rPr>
                <w:rFonts w:ascii="Garamond" w:hAnsi="Garamond" w:cs="Times New Roman"/>
              </w:rPr>
            </w:pPr>
            <w:r w:rsidRPr="00566F35">
              <w:rPr>
                <w:rFonts w:ascii="Garamond" w:hAnsi="Garamond" w:cs="Times New Roman"/>
              </w:rPr>
              <w:t xml:space="preserve">Wszystkie przeciwciała, sondy  i systemy wizualizacji muszą być przeznaczone do diagnostyki in vitro i </w:t>
            </w:r>
            <w:r w:rsidRPr="004B7B87">
              <w:rPr>
                <w:rFonts w:ascii="Garamond" w:hAnsi="Garamond" w:cs="Times New Roman"/>
                <w:color w:val="000000" w:themeColor="text1"/>
              </w:rPr>
              <w:t>posiadać deklarację zgodności (IVD) –</w:t>
            </w:r>
            <w:r w:rsidR="00F417A4" w:rsidRPr="004B7B87">
              <w:rPr>
                <w:rFonts w:ascii="Garamond" w:hAnsi="Garamond" w:cs="Times New Roman"/>
                <w:color w:val="000000" w:themeColor="text1"/>
              </w:rPr>
              <w:t xml:space="preserve"> nie dotyczy pozycji </w:t>
            </w:r>
            <w:r w:rsidR="002106EA" w:rsidRPr="004B7B87">
              <w:rPr>
                <w:rFonts w:ascii="Garamond" w:hAnsi="Garamond" w:cs="Times New Roman"/>
                <w:color w:val="000000" w:themeColor="text1"/>
              </w:rPr>
              <w:t xml:space="preserve">3 (CD4) oraz </w:t>
            </w:r>
            <w:r w:rsidR="00640C82" w:rsidRPr="004B7B87">
              <w:rPr>
                <w:rFonts w:ascii="Garamond" w:hAnsi="Garamond" w:cs="Times New Roman"/>
                <w:color w:val="000000" w:themeColor="text1"/>
              </w:rPr>
              <w:t>27-28</w:t>
            </w:r>
            <w:r w:rsidR="00F417A4" w:rsidRPr="004B7B87">
              <w:rPr>
                <w:rFonts w:ascii="Garamond" w:hAnsi="Garamond" w:cs="Times New Roman"/>
                <w:color w:val="000000" w:themeColor="text1"/>
              </w:rPr>
              <w:t xml:space="preserve"> (</w:t>
            </w:r>
            <w:r w:rsidRPr="004B7B87">
              <w:rPr>
                <w:rFonts w:ascii="Garamond" w:hAnsi="Garamond" w:cs="Times New Roman"/>
                <w:color w:val="000000" w:themeColor="text1"/>
              </w:rPr>
              <w:t xml:space="preserve"> MHCF</w:t>
            </w:r>
            <w:r w:rsidR="004043E0" w:rsidRPr="004B7B87">
              <w:rPr>
                <w:rFonts w:ascii="Garamond" w:hAnsi="Garamond" w:cs="Times New Roman"/>
                <w:color w:val="000000" w:themeColor="text1"/>
              </w:rPr>
              <w:t xml:space="preserve"> i </w:t>
            </w:r>
            <w:r w:rsidR="00F417A4" w:rsidRPr="004B7B87">
              <w:rPr>
                <w:rFonts w:ascii="Garamond" w:hAnsi="Garamond" w:cs="Times New Roman"/>
                <w:color w:val="000000" w:themeColor="text1"/>
              </w:rPr>
              <w:t>MHCS)</w:t>
            </w:r>
          </w:p>
          <w:p w14:paraId="50FA5DB6" w14:textId="77777777" w:rsidR="008922BA" w:rsidRPr="00566F35" w:rsidRDefault="008922BA" w:rsidP="00434BFF">
            <w:pPr>
              <w:spacing w:after="0"/>
              <w:rPr>
                <w:rFonts w:ascii="Garamond" w:hAnsi="Garamond" w:cs="Times New Roman"/>
              </w:rPr>
            </w:pPr>
            <w:r w:rsidRPr="00566F35">
              <w:rPr>
                <w:rFonts w:ascii="Garamond" w:hAnsi="Garamond" w:cs="Times New Roman"/>
              </w:rPr>
              <w:t>Przeciwciała RTU kompatybilne z aparatem dostarczonym w dzierżawie.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E9DE78" w14:textId="77777777" w:rsidR="008922BA" w:rsidRPr="00566F35" w:rsidRDefault="008922BA" w:rsidP="005A65DF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AA401D" w:rsidRPr="00566F35" w14:paraId="7395F4EB" w14:textId="77777777" w:rsidTr="0092722A">
        <w:trPr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C26D8B" w14:textId="77777777" w:rsidR="00AA401D" w:rsidRPr="00566F35" w:rsidRDefault="008922BA" w:rsidP="005A65DF">
            <w:pPr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4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F15400" w14:textId="3546E185" w:rsidR="00AA401D" w:rsidRPr="00566F35" w:rsidRDefault="00AA401D" w:rsidP="004B7B87">
            <w:pPr>
              <w:spacing w:before="120" w:after="120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hAnsi="Garamond" w:cs="Times New Roman"/>
              </w:rPr>
              <w:t>Wykonawca z</w:t>
            </w:r>
            <w:r w:rsidR="004B7B87">
              <w:rPr>
                <w:rFonts w:ascii="Garamond" w:hAnsi="Garamond" w:cs="Times New Roman"/>
              </w:rPr>
              <w:t xml:space="preserve">obowiązuje się do udostępniania </w:t>
            </w:r>
            <w:r w:rsidR="005824A5">
              <w:rPr>
                <w:rFonts w:ascii="Garamond" w:hAnsi="Garamond" w:cs="Times New Roman"/>
              </w:rPr>
              <w:t xml:space="preserve">w cenie oferty </w:t>
            </w:r>
            <w:r w:rsidRPr="00566F35">
              <w:rPr>
                <w:rFonts w:ascii="Garamond" w:hAnsi="Garamond" w:cs="Times New Roman"/>
              </w:rPr>
              <w:t>próbki przeciwciał, w przypadku nowych wprowadzanych na rynek immunoreagentów oraz w sytuacji, kiedy laboratorium nie posiada opracowanej metody barwienia, wali</w:t>
            </w:r>
            <w:r w:rsidR="005824A5">
              <w:rPr>
                <w:rFonts w:ascii="Garamond" w:hAnsi="Garamond" w:cs="Times New Roman"/>
              </w:rPr>
              <w:t xml:space="preserve">dacja metody na koszt Wykonawcy. 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304A0F" w14:textId="77777777" w:rsidR="00AA401D" w:rsidRPr="00566F35" w:rsidRDefault="00AA401D" w:rsidP="005A65DF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AA401D" w:rsidRPr="00566F35" w14:paraId="0F0023A4" w14:textId="77777777" w:rsidTr="0092722A">
        <w:trPr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E1C28C" w14:textId="77777777" w:rsidR="00AA401D" w:rsidRPr="00566F35" w:rsidRDefault="008922BA" w:rsidP="005A65DF">
            <w:pPr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5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F15359" w14:textId="6C2E8857" w:rsidR="00AA401D" w:rsidRPr="00566F35" w:rsidRDefault="00AA401D" w:rsidP="004043E0">
            <w:pPr>
              <w:spacing w:before="120" w:after="120"/>
              <w:rPr>
                <w:rFonts w:ascii="Garamond" w:hAnsi="Garamond" w:cs="Times New Roman"/>
              </w:rPr>
            </w:pPr>
            <w:r w:rsidRPr="00566F35">
              <w:rPr>
                <w:rFonts w:ascii="Garamond" w:hAnsi="Garamond" w:cs="Times New Roman"/>
              </w:rPr>
              <w:t xml:space="preserve">W przypadku wycofania danego odczynnika z obrotu lub zmiany jego klonu, Wykonawca zobowiązany jest dostarczyć </w:t>
            </w:r>
            <w:r w:rsidR="004B7B87">
              <w:rPr>
                <w:rFonts w:ascii="Garamond" w:hAnsi="Garamond" w:cs="Times New Roman"/>
              </w:rPr>
              <w:t xml:space="preserve">w cenie oferty </w:t>
            </w:r>
            <w:r w:rsidRPr="00566F35">
              <w:rPr>
                <w:rFonts w:ascii="Garamond" w:hAnsi="Garamond" w:cs="Times New Roman"/>
              </w:rPr>
              <w:t xml:space="preserve">produkt równoważny, o porównywalnych wynikach kontroli jakości NORDIQC – walidacja w cenie </w:t>
            </w:r>
            <w:r w:rsidR="005824A5">
              <w:rPr>
                <w:rFonts w:ascii="Garamond" w:hAnsi="Garamond" w:cs="Times New Roman"/>
              </w:rPr>
              <w:t xml:space="preserve">dostawy zastępczego asortymentu. 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1732AE" w14:textId="77777777" w:rsidR="00AA401D" w:rsidRPr="00566F35" w:rsidRDefault="00AA401D" w:rsidP="005A65DF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  <w:tr w:rsidR="00AA401D" w:rsidRPr="00566F35" w14:paraId="625AB14D" w14:textId="77777777" w:rsidTr="0092722A">
        <w:trPr>
          <w:tblCellSpacing w:w="0" w:type="dxa"/>
        </w:trPr>
        <w:tc>
          <w:tcPr>
            <w:tcW w:w="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6409AC" w14:textId="77777777" w:rsidR="00AA401D" w:rsidRPr="00566F35" w:rsidRDefault="008922BA" w:rsidP="005A65DF">
            <w:pPr>
              <w:jc w:val="center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eastAsia="Times New Roman" w:hAnsi="Garamond" w:cs="Times New Roman"/>
              </w:rPr>
              <w:t>6</w:t>
            </w:r>
          </w:p>
        </w:tc>
        <w:tc>
          <w:tcPr>
            <w:tcW w:w="8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D3BCB5" w14:textId="34BEB28E" w:rsidR="00AA401D" w:rsidRPr="00566F35" w:rsidRDefault="00AA401D" w:rsidP="004043E0">
            <w:pPr>
              <w:spacing w:before="120" w:after="120"/>
              <w:rPr>
                <w:rFonts w:ascii="Garamond" w:eastAsia="Times New Roman" w:hAnsi="Garamond" w:cs="Times New Roman"/>
              </w:rPr>
            </w:pPr>
            <w:r w:rsidRPr="00566F35">
              <w:rPr>
                <w:rFonts w:ascii="Garamond" w:hAnsi="Garamond" w:cs="Times New Roman"/>
              </w:rPr>
              <w:t xml:space="preserve">Wykonawca zobowiązuje się do przeprowadzenia </w:t>
            </w:r>
            <w:r w:rsidR="004B7B87">
              <w:rPr>
                <w:rFonts w:ascii="Garamond" w:hAnsi="Garamond" w:cs="Times New Roman"/>
              </w:rPr>
              <w:t xml:space="preserve">min 1 </w:t>
            </w:r>
            <w:r w:rsidRPr="00566F35">
              <w:rPr>
                <w:rFonts w:ascii="Garamond" w:hAnsi="Garamond" w:cs="Times New Roman"/>
              </w:rPr>
              <w:t>szkolenia personelu z obsługi sprzętu wraz z dostawą sprzętu, szkol</w:t>
            </w:r>
            <w:r w:rsidR="005824A5">
              <w:rPr>
                <w:rFonts w:ascii="Garamond" w:hAnsi="Garamond" w:cs="Times New Roman"/>
              </w:rPr>
              <w:t xml:space="preserve">enia potwierdzone certyfikatami. 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FB78EA" w14:textId="77777777" w:rsidR="00AA401D" w:rsidRPr="00566F35" w:rsidRDefault="00AA401D" w:rsidP="005A65DF">
            <w:pPr>
              <w:jc w:val="center"/>
              <w:rPr>
                <w:rFonts w:ascii="Garamond" w:eastAsia="Times New Roman" w:hAnsi="Garamond" w:cs="Times New Roman"/>
              </w:rPr>
            </w:pPr>
          </w:p>
        </w:tc>
      </w:tr>
    </w:tbl>
    <w:p w14:paraId="677D903F" w14:textId="33772A1F" w:rsidR="00696EB3" w:rsidRDefault="00696EB3" w:rsidP="00696EB3">
      <w:pPr>
        <w:widowControl w:val="0"/>
        <w:suppressAutoHyphens/>
        <w:spacing w:after="200" w:line="276" w:lineRule="exact"/>
        <w:rPr>
          <w:rFonts w:ascii="Garamond" w:eastAsia="Calibri" w:hAnsi="Garamond" w:cs="Times New Roman"/>
          <w:color w:val="5B9BD5"/>
          <w:kern w:val="1"/>
          <w:lang w:eastAsia="hi-IN" w:bidi="hi-IN"/>
        </w:rPr>
      </w:pPr>
      <w:bookmarkStart w:id="0" w:name="_GoBack"/>
      <w:bookmarkEnd w:id="0"/>
    </w:p>
    <w:p w14:paraId="4C50C065" w14:textId="23E7C6C1" w:rsidR="00864B2F" w:rsidRPr="00C30331" w:rsidRDefault="00696EB3" w:rsidP="00C30331">
      <w:pPr>
        <w:widowControl w:val="0"/>
        <w:suppressAutoHyphens/>
        <w:spacing w:after="200" w:line="276" w:lineRule="exact"/>
        <w:rPr>
          <w:rFonts w:ascii="Garamond" w:eastAsia="Calibri" w:hAnsi="Garamond" w:cs="Times New Roman"/>
          <w:color w:val="5B9BD5"/>
          <w:kern w:val="1"/>
          <w:lang w:eastAsia="hi-IN" w:bidi="hi-IN"/>
        </w:rPr>
      </w:pPr>
      <w:r w:rsidRPr="00696EB3">
        <w:rPr>
          <w:rFonts w:ascii="Garamond" w:eastAsia="Calibri" w:hAnsi="Garamond" w:cs="Times New Roman"/>
          <w:color w:val="5B9BD5"/>
          <w:kern w:val="1"/>
          <w:lang w:eastAsia="hi-IN" w:bidi="hi-IN"/>
        </w:rPr>
        <w:t xml:space="preserve"> *Niespełnienie któregokolwiek z wymagań przedstawionych w tabeli</w:t>
      </w:r>
      <w:r>
        <w:rPr>
          <w:rFonts w:ascii="Garamond" w:eastAsia="Calibri" w:hAnsi="Garamond" w:cs="Times New Roman"/>
          <w:color w:val="5B9BD5"/>
          <w:kern w:val="1"/>
          <w:lang w:eastAsia="hi-IN" w:bidi="hi-IN"/>
        </w:rPr>
        <w:t xml:space="preserve"> powyżej spowoduje odrzucenie </w:t>
      </w:r>
      <w:r w:rsidR="00C30331">
        <w:rPr>
          <w:rFonts w:ascii="Garamond" w:eastAsia="Calibri" w:hAnsi="Garamond" w:cs="Times New Roman"/>
          <w:color w:val="5B9BD5"/>
          <w:kern w:val="1"/>
          <w:lang w:eastAsia="hi-IN" w:bidi="hi-IN"/>
        </w:rPr>
        <w:t>oferty.</w:t>
      </w:r>
    </w:p>
    <w:sectPr w:rsidR="00864B2F" w:rsidRPr="00C30331" w:rsidSect="00D77AC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0ABBD" w14:textId="77777777" w:rsidR="00AA7B7B" w:rsidRDefault="00AA7B7B" w:rsidP="002C3356">
      <w:pPr>
        <w:spacing w:after="0" w:line="240" w:lineRule="auto"/>
      </w:pPr>
      <w:r>
        <w:separator/>
      </w:r>
    </w:p>
  </w:endnote>
  <w:endnote w:type="continuationSeparator" w:id="0">
    <w:p w14:paraId="01AE36C9" w14:textId="77777777" w:rsidR="00AA7B7B" w:rsidRDefault="00AA7B7B" w:rsidP="002C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 Fixed">
    <w:altName w:val="Courier New"/>
    <w:charset w:val="00"/>
    <w:family w:val="modern"/>
    <w:pitch w:val="fixed"/>
    <w:sig w:usb0="00000000" w:usb1="00000000" w:usb2="00000000" w:usb3="00000000" w:csb0="0000004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4785455"/>
      <w:docPartObj>
        <w:docPartGallery w:val="Page Numbers (Bottom of Page)"/>
        <w:docPartUnique/>
      </w:docPartObj>
    </w:sdtPr>
    <w:sdtEndPr/>
    <w:sdtContent>
      <w:p w14:paraId="7928FE1D" w14:textId="0A3CAE23" w:rsidR="000E3B3A" w:rsidRDefault="000E3B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331">
          <w:rPr>
            <w:noProof/>
          </w:rPr>
          <w:t>4</w:t>
        </w:r>
        <w:r>
          <w:fldChar w:fldCharType="end"/>
        </w:r>
      </w:p>
    </w:sdtContent>
  </w:sdt>
  <w:p w14:paraId="322623DE" w14:textId="77777777" w:rsidR="000E3B3A" w:rsidRDefault="000E3B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56FF7" w14:textId="77777777" w:rsidR="00AA7B7B" w:rsidRDefault="00AA7B7B" w:rsidP="002C3356">
      <w:pPr>
        <w:spacing w:after="0" w:line="240" w:lineRule="auto"/>
      </w:pPr>
      <w:r>
        <w:separator/>
      </w:r>
    </w:p>
  </w:footnote>
  <w:footnote w:type="continuationSeparator" w:id="0">
    <w:p w14:paraId="308BCEFC" w14:textId="77777777" w:rsidR="00AA7B7B" w:rsidRDefault="00AA7B7B" w:rsidP="002C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20F12" w14:textId="65CBF644" w:rsidR="002C3356" w:rsidRDefault="005A32F6" w:rsidP="002C3356">
    <w:pPr>
      <w:pStyle w:val="Nagwek"/>
      <w:tabs>
        <w:tab w:val="clear" w:pos="4536"/>
      </w:tabs>
      <w:rPr>
        <w:rFonts w:ascii="Garamond" w:eastAsia="Times New Roman" w:hAnsi="Garamond" w:cs="Times New Roman"/>
        <w:bCs/>
        <w:lang w:eastAsia="pl-PL"/>
      </w:rPr>
    </w:pPr>
    <w:r>
      <w:rPr>
        <w:rFonts w:ascii="Garamond" w:eastAsia="Times New Roman" w:hAnsi="Garamond" w:cs="Times New Roman"/>
        <w:bCs/>
        <w:lang w:eastAsia="pl-PL"/>
      </w:rPr>
      <w:t>Nr sprawy: DFP.271.170.2025.PS</w:t>
    </w:r>
    <w:r w:rsidR="002C3356" w:rsidRPr="00566F35">
      <w:rPr>
        <w:rFonts w:ascii="Garamond" w:eastAsia="Times New Roman" w:hAnsi="Garamond" w:cs="Times New Roman"/>
        <w:bCs/>
        <w:lang w:eastAsia="pl-PL"/>
      </w:rPr>
      <w:tab/>
    </w:r>
    <w:r w:rsidR="00B85AAB">
      <w:rPr>
        <w:rFonts w:ascii="Garamond" w:eastAsia="Times New Roman" w:hAnsi="Garamond" w:cs="Times New Roman"/>
        <w:bCs/>
        <w:lang w:eastAsia="pl-PL"/>
      </w:rPr>
      <w:t xml:space="preserve">   </w:t>
    </w:r>
    <w:r w:rsidR="002C3356" w:rsidRPr="00566F35">
      <w:rPr>
        <w:rFonts w:ascii="Garamond" w:eastAsia="Times New Roman" w:hAnsi="Garamond" w:cs="Times New Roman"/>
        <w:bCs/>
        <w:lang w:eastAsia="pl-PL"/>
      </w:rPr>
      <w:t>Załącznik nr 1b do SWZ</w:t>
    </w:r>
  </w:p>
  <w:p w14:paraId="5CB38982" w14:textId="77777777" w:rsidR="00B32716" w:rsidRPr="00566F35" w:rsidRDefault="00B32716" w:rsidP="002C3356">
    <w:pPr>
      <w:pStyle w:val="Nagwek"/>
      <w:tabs>
        <w:tab w:val="clear" w:pos="4536"/>
      </w:tabs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3622"/>
    <w:multiLevelType w:val="hybridMultilevel"/>
    <w:tmpl w:val="E346A504"/>
    <w:lvl w:ilvl="0" w:tplc="D4CC3AEC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473B0"/>
    <w:multiLevelType w:val="hybridMultilevel"/>
    <w:tmpl w:val="CF163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2E9D"/>
    <w:multiLevelType w:val="multilevel"/>
    <w:tmpl w:val="90C8E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C9"/>
    <w:rsid w:val="00001071"/>
    <w:rsid w:val="000066E2"/>
    <w:rsid w:val="00021955"/>
    <w:rsid w:val="000501D3"/>
    <w:rsid w:val="000672FC"/>
    <w:rsid w:val="00087105"/>
    <w:rsid w:val="000B79D8"/>
    <w:rsid w:val="000E34F0"/>
    <w:rsid w:val="000E3B3A"/>
    <w:rsid w:val="000E5C2F"/>
    <w:rsid w:val="0013151A"/>
    <w:rsid w:val="0015306C"/>
    <w:rsid w:val="001A2CA8"/>
    <w:rsid w:val="001B179B"/>
    <w:rsid w:val="001E475C"/>
    <w:rsid w:val="002106EA"/>
    <w:rsid w:val="00223E56"/>
    <w:rsid w:val="00233A24"/>
    <w:rsid w:val="00262609"/>
    <w:rsid w:val="002B6DAD"/>
    <w:rsid w:val="002C3356"/>
    <w:rsid w:val="002C4051"/>
    <w:rsid w:val="002E5E1C"/>
    <w:rsid w:val="002F4A58"/>
    <w:rsid w:val="00340824"/>
    <w:rsid w:val="003600F1"/>
    <w:rsid w:val="00362DE8"/>
    <w:rsid w:val="003723A7"/>
    <w:rsid w:val="003944D1"/>
    <w:rsid w:val="003D1F2D"/>
    <w:rsid w:val="003E1F2C"/>
    <w:rsid w:val="004043E0"/>
    <w:rsid w:val="00427217"/>
    <w:rsid w:val="00434BFF"/>
    <w:rsid w:val="00442158"/>
    <w:rsid w:val="0044526D"/>
    <w:rsid w:val="00447D39"/>
    <w:rsid w:val="004619DB"/>
    <w:rsid w:val="00467894"/>
    <w:rsid w:val="00492FC4"/>
    <w:rsid w:val="004A6071"/>
    <w:rsid w:val="004A7CC9"/>
    <w:rsid w:val="004B6851"/>
    <w:rsid w:val="004B7B87"/>
    <w:rsid w:val="0051276D"/>
    <w:rsid w:val="00541742"/>
    <w:rsid w:val="00542507"/>
    <w:rsid w:val="00551AA9"/>
    <w:rsid w:val="00566F35"/>
    <w:rsid w:val="005824A5"/>
    <w:rsid w:val="00586410"/>
    <w:rsid w:val="005A32F6"/>
    <w:rsid w:val="005B0E96"/>
    <w:rsid w:val="00640C82"/>
    <w:rsid w:val="00696EB3"/>
    <w:rsid w:val="006C5194"/>
    <w:rsid w:val="006E49CD"/>
    <w:rsid w:val="00725676"/>
    <w:rsid w:val="00733BA5"/>
    <w:rsid w:val="00735E92"/>
    <w:rsid w:val="00744BE1"/>
    <w:rsid w:val="00817A81"/>
    <w:rsid w:val="00852A68"/>
    <w:rsid w:val="00864B2F"/>
    <w:rsid w:val="0087070C"/>
    <w:rsid w:val="00875900"/>
    <w:rsid w:val="00883C54"/>
    <w:rsid w:val="008847EA"/>
    <w:rsid w:val="008922BA"/>
    <w:rsid w:val="008E037E"/>
    <w:rsid w:val="008F57EC"/>
    <w:rsid w:val="00926DBA"/>
    <w:rsid w:val="0092722A"/>
    <w:rsid w:val="0093110E"/>
    <w:rsid w:val="009868F4"/>
    <w:rsid w:val="009907F7"/>
    <w:rsid w:val="009D1AD1"/>
    <w:rsid w:val="009D3BFD"/>
    <w:rsid w:val="009F36ED"/>
    <w:rsid w:val="00A323F2"/>
    <w:rsid w:val="00A47EF8"/>
    <w:rsid w:val="00A66937"/>
    <w:rsid w:val="00A87A70"/>
    <w:rsid w:val="00A90F5A"/>
    <w:rsid w:val="00AA28E2"/>
    <w:rsid w:val="00AA401D"/>
    <w:rsid w:val="00AA7B7B"/>
    <w:rsid w:val="00AB2768"/>
    <w:rsid w:val="00AD5931"/>
    <w:rsid w:val="00B00FE7"/>
    <w:rsid w:val="00B2150A"/>
    <w:rsid w:val="00B24AA9"/>
    <w:rsid w:val="00B32716"/>
    <w:rsid w:val="00B54284"/>
    <w:rsid w:val="00B66EFF"/>
    <w:rsid w:val="00B85AAB"/>
    <w:rsid w:val="00B87257"/>
    <w:rsid w:val="00BC5614"/>
    <w:rsid w:val="00BE439B"/>
    <w:rsid w:val="00BF0E1C"/>
    <w:rsid w:val="00BF7B7F"/>
    <w:rsid w:val="00C30133"/>
    <w:rsid w:val="00C30331"/>
    <w:rsid w:val="00C339E2"/>
    <w:rsid w:val="00C346C6"/>
    <w:rsid w:val="00CA5CE8"/>
    <w:rsid w:val="00D77AC2"/>
    <w:rsid w:val="00DB0FA9"/>
    <w:rsid w:val="00DB5E53"/>
    <w:rsid w:val="00DE1D22"/>
    <w:rsid w:val="00E06B05"/>
    <w:rsid w:val="00E27652"/>
    <w:rsid w:val="00E27E34"/>
    <w:rsid w:val="00E469FB"/>
    <w:rsid w:val="00E917C8"/>
    <w:rsid w:val="00EC557B"/>
    <w:rsid w:val="00F417A4"/>
    <w:rsid w:val="00F54EEC"/>
    <w:rsid w:val="00F66AE7"/>
    <w:rsid w:val="00F73CBB"/>
    <w:rsid w:val="00F8621B"/>
    <w:rsid w:val="00FC1304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165AD"/>
  <w15:chartTrackingRefBased/>
  <w15:docId w15:val="{6B6B8878-2918-4954-B8E7-FA0F1A5F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7C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641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864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C3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356"/>
  </w:style>
  <w:style w:type="paragraph" w:styleId="Stopka">
    <w:name w:val="footer"/>
    <w:basedOn w:val="Normalny"/>
    <w:link w:val="StopkaZnak"/>
    <w:uiPriority w:val="99"/>
    <w:unhideWhenUsed/>
    <w:rsid w:val="002C3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356"/>
  </w:style>
  <w:style w:type="character" w:styleId="Odwoaniedokomentarza">
    <w:name w:val="annotation reference"/>
    <w:basedOn w:val="Domylnaczcionkaakapitu"/>
    <w:uiPriority w:val="99"/>
    <w:semiHidden/>
    <w:unhideWhenUsed/>
    <w:rsid w:val="00566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6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6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6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2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1454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Gut</dc:creator>
  <cp:keywords/>
  <dc:description/>
  <cp:lastModifiedBy>Paulina Świętach</cp:lastModifiedBy>
  <cp:revision>3</cp:revision>
  <cp:lastPrinted>2025-08-22T06:31:00Z</cp:lastPrinted>
  <dcterms:created xsi:type="dcterms:W3CDTF">2025-08-27T08:42:00Z</dcterms:created>
  <dcterms:modified xsi:type="dcterms:W3CDTF">2025-08-29T09:34:00Z</dcterms:modified>
</cp:coreProperties>
</file>