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712395D6"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E71916">
        <w:rPr>
          <w:rFonts w:cs="Arial"/>
          <w:iCs/>
          <w:sz w:val="20"/>
          <w:szCs w:val="20"/>
          <w:lang w:eastAsia="en-US"/>
        </w:rPr>
        <w:t>1</w:t>
      </w:r>
      <w:r w:rsidR="00421241">
        <w:rPr>
          <w:rFonts w:cs="Arial"/>
          <w:iCs/>
          <w:sz w:val="20"/>
          <w:szCs w:val="20"/>
          <w:lang w:eastAsia="en-US"/>
        </w:rPr>
        <w:t>5</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0A866689" w14:textId="6C181E91" w:rsidR="000D4284" w:rsidRDefault="00421241" w:rsidP="000D4284">
      <w:pPr>
        <w:spacing w:before="120" w:after="120" w:line="276" w:lineRule="auto"/>
        <w:jc w:val="center"/>
        <w:rPr>
          <w:rFonts w:eastAsia="Calibri" w:cs="Arial"/>
          <w:b/>
          <w:sz w:val="28"/>
          <w:szCs w:val="28"/>
          <w:lang w:eastAsia="en-US"/>
        </w:rPr>
      </w:pPr>
      <w:r w:rsidRPr="00421241">
        <w:rPr>
          <w:rFonts w:eastAsia="Calibri" w:cs="Arial"/>
          <w:b/>
          <w:sz w:val="28"/>
          <w:szCs w:val="28"/>
          <w:lang w:eastAsia="en-US"/>
        </w:rPr>
        <w:t>Pełnienie nadzoru inwestorskiego nad realizacją robót budowlanych w ramach zadania pn.: Rozbudowa oświetlenia Parku Borowiackiego w Czersku w ramach projektu pn. Poprawa atrakcyjności turystycznej w Parku Borowiackim w Czersku</w:t>
      </w:r>
    </w:p>
    <w:p w14:paraId="7745D957" w14:textId="77777777" w:rsidR="00421241" w:rsidRPr="00ED7176" w:rsidRDefault="00421241"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51C0059F"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421241">
        <w:rPr>
          <w:rFonts w:cs="Arial"/>
          <w:sz w:val="28"/>
          <w:szCs w:val="28"/>
          <w:vertAlign w:val="superscript"/>
          <w:lang w:eastAsia="en-US"/>
        </w:rPr>
        <w:t>22</w:t>
      </w:r>
      <w:r w:rsidR="00E71916">
        <w:rPr>
          <w:rFonts w:cs="Arial"/>
          <w:sz w:val="28"/>
          <w:szCs w:val="28"/>
          <w:vertAlign w:val="superscript"/>
          <w:lang w:eastAsia="en-US"/>
        </w:rPr>
        <w:t xml:space="preserve"> marca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2022 r., poz. 1710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042BA050" w:rsidR="000D4284" w:rsidRPr="00A201E2" w:rsidRDefault="000D4284" w:rsidP="00A201E2">
      <w:pPr>
        <w:keepNext/>
        <w:numPr>
          <w:ilvl w:val="1"/>
          <w:numId w:val="1"/>
        </w:numPr>
        <w:spacing w:before="120" w:after="120" w:line="276" w:lineRule="auto"/>
        <w:ind w:left="709" w:hanging="425"/>
        <w:jc w:val="both"/>
        <w:outlineLvl w:val="3"/>
        <w:rPr>
          <w:rFonts w:cs="Arial"/>
          <w:b/>
          <w:bCs/>
          <w:i/>
          <w:iCs/>
          <w:sz w:val="20"/>
          <w:szCs w:val="20"/>
          <w:lang w:eastAsia="en-US"/>
        </w:rPr>
      </w:pPr>
      <w:r w:rsidRPr="00A201E2">
        <w:rPr>
          <w:rFonts w:cs="Arial"/>
          <w:sz w:val="20"/>
          <w:szCs w:val="20"/>
          <w:lang w:eastAsia="en-US"/>
        </w:rPr>
        <w:lastRenderedPageBreak/>
        <w:t xml:space="preserve">Przedmiotem zamówienia jest: </w:t>
      </w:r>
      <w:r w:rsidR="00A201E2" w:rsidRPr="00A201E2">
        <w:rPr>
          <w:rFonts w:cs="Arial"/>
          <w:b/>
          <w:bCs/>
          <w:sz w:val="20"/>
          <w:szCs w:val="20"/>
          <w:lang w:eastAsia="en-US"/>
        </w:rPr>
        <w:t xml:space="preserve">Pełnienie nadzoru inwestorskiego nad realizacją robót budowlanych w ramach zadania pn.: Rozbudowa oświetlenia Parku Borowiackiego </w:t>
      </w:r>
      <w:r w:rsidR="00A201E2" w:rsidRPr="00A201E2">
        <w:rPr>
          <w:rFonts w:cs="Arial"/>
          <w:b/>
          <w:bCs/>
          <w:sz w:val="20"/>
          <w:szCs w:val="20"/>
          <w:lang w:eastAsia="en-US"/>
        </w:rPr>
        <w:br/>
        <w:t>w Czersku” w ramach projektu pn. „Poprawa atrakcyjności turystycznej w Parku Borowiackim w Czersku</w:t>
      </w:r>
      <w:r w:rsidRPr="00A201E2">
        <w:rPr>
          <w:rFonts w:cs="Arial"/>
          <w:b/>
          <w:bCs/>
          <w:sz w:val="20"/>
          <w:szCs w:val="20"/>
          <w:lang w:eastAsia="en-US"/>
        </w:rPr>
        <w:t>.</w:t>
      </w:r>
      <w:r w:rsidR="00A201E2" w:rsidRPr="00A201E2">
        <w:rPr>
          <w:rFonts w:cs="Arial"/>
          <w:b/>
          <w:bCs/>
          <w:sz w:val="20"/>
          <w:szCs w:val="20"/>
          <w:lang w:eastAsia="en-US"/>
        </w:rPr>
        <w:t xml:space="preserve"> </w:t>
      </w:r>
      <w:r w:rsidR="00A201E2" w:rsidRPr="00A201E2">
        <w:rPr>
          <w:rFonts w:cs="Arial"/>
          <w:b/>
          <w:bCs/>
          <w:i/>
          <w:iCs/>
          <w:sz w:val="20"/>
          <w:szCs w:val="20"/>
          <w:lang w:eastAsia="en-US"/>
        </w:rPr>
        <w:t xml:space="preserve">Zadanie jest współfinansowane w ramach priorytetu 4 „Zwiększenie zatrudnienia i spójności terytorialnej”, zawartego w Programie Operacyjnym „Rybactwo i Morze” (PO </w:t>
      </w:r>
      <w:proofErr w:type="spellStart"/>
      <w:r w:rsidR="00A201E2" w:rsidRPr="00A201E2">
        <w:rPr>
          <w:rFonts w:cs="Arial"/>
          <w:b/>
          <w:bCs/>
          <w:i/>
          <w:iCs/>
          <w:sz w:val="20"/>
          <w:szCs w:val="20"/>
          <w:lang w:eastAsia="en-US"/>
        </w:rPr>
        <w:t>RiM</w:t>
      </w:r>
      <w:proofErr w:type="spellEnd"/>
      <w:r w:rsidR="00A201E2" w:rsidRPr="00A201E2">
        <w:rPr>
          <w:rFonts w:cs="Arial"/>
          <w:b/>
          <w:bCs/>
          <w:i/>
          <w:iCs/>
          <w:sz w:val="20"/>
          <w:szCs w:val="20"/>
          <w:lang w:eastAsia="en-US"/>
        </w:rPr>
        <w:t>) na lata 2014-2020 w zakresie działania: realizacja lokalnych strategii rozwoju kierowanych przez społeczność.</w:t>
      </w:r>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212CE081"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Pr>
          <w:rFonts w:cs="Arial"/>
          <w:bCs/>
          <w:sz w:val="20"/>
          <w:szCs w:val="20"/>
        </w:rPr>
        <w:t>1</w:t>
      </w:r>
      <w:r w:rsidRPr="00FD1D33">
        <w:rPr>
          <w:rFonts w:cs="Arial"/>
          <w:bCs/>
          <w:sz w:val="20"/>
          <w:szCs w:val="20"/>
        </w:rPr>
        <w:t xml:space="preserve"> r. poz. </w:t>
      </w:r>
      <w:r w:rsidR="002D1BBF">
        <w:rPr>
          <w:rFonts w:cs="Arial"/>
          <w:bCs/>
          <w:sz w:val="20"/>
          <w:szCs w:val="20"/>
        </w:rPr>
        <w:t>2351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11D69429" w14:textId="2BA0DE0E" w:rsidR="00A201E2" w:rsidRPr="00A201E2" w:rsidRDefault="000D4284" w:rsidP="00A201E2">
      <w:pPr>
        <w:keepNext/>
        <w:numPr>
          <w:ilvl w:val="2"/>
          <w:numId w:val="1"/>
        </w:numPr>
        <w:spacing w:before="120" w:after="120" w:line="276" w:lineRule="auto"/>
        <w:jc w:val="both"/>
        <w:outlineLvl w:val="3"/>
        <w:rPr>
          <w:rFonts w:cs="Arial"/>
          <w:bCs/>
          <w:sz w:val="20"/>
          <w:szCs w:val="20"/>
          <w:lang w:eastAsia="en-US"/>
        </w:rPr>
      </w:pPr>
      <w:r w:rsidRPr="00A201E2">
        <w:rPr>
          <w:rFonts w:cs="Arial"/>
          <w:bCs/>
          <w:sz w:val="20"/>
          <w:szCs w:val="20"/>
          <w:u w:val="single"/>
          <w:lang w:eastAsia="en-US"/>
        </w:rPr>
        <w:t xml:space="preserve">Powody niedokonania podziału zamówienia na części, zgodnie z art. 91 ust. 2 ustawy </w:t>
      </w:r>
      <w:proofErr w:type="spellStart"/>
      <w:r w:rsidRPr="00A201E2">
        <w:rPr>
          <w:rFonts w:cs="Arial"/>
          <w:bCs/>
          <w:sz w:val="20"/>
          <w:szCs w:val="20"/>
          <w:u w:val="single"/>
          <w:lang w:eastAsia="en-US"/>
        </w:rPr>
        <w:t>Pzp</w:t>
      </w:r>
      <w:proofErr w:type="spellEnd"/>
      <w:r w:rsidRPr="00A201E2">
        <w:rPr>
          <w:rFonts w:cs="Arial"/>
          <w:bCs/>
          <w:sz w:val="20"/>
          <w:szCs w:val="20"/>
          <w:u w:val="single"/>
          <w:lang w:eastAsia="en-US"/>
        </w:rPr>
        <w:t xml:space="preserve"> (t. j. - Dz. U. z 202</w:t>
      </w:r>
      <w:r w:rsidR="002D1BBF" w:rsidRPr="00A201E2">
        <w:rPr>
          <w:rFonts w:cs="Arial"/>
          <w:bCs/>
          <w:sz w:val="20"/>
          <w:szCs w:val="20"/>
          <w:u w:val="single"/>
          <w:lang w:eastAsia="en-US"/>
        </w:rPr>
        <w:t>2</w:t>
      </w:r>
      <w:r w:rsidRPr="00A201E2">
        <w:rPr>
          <w:rFonts w:cs="Arial"/>
          <w:bCs/>
          <w:sz w:val="20"/>
          <w:szCs w:val="20"/>
          <w:u w:val="single"/>
          <w:lang w:eastAsia="en-US"/>
        </w:rPr>
        <w:t xml:space="preserve"> r., poz. 1</w:t>
      </w:r>
      <w:r w:rsidR="002D1BBF" w:rsidRPr="00A201E2">
        <w:rPr>
          <w:rFonts w:cs="Arial"/>
          <w:bCs/>
          <w:sz w:val="20"/>
          <w:szCs w:val="20"/>
          <w:u w:val="single"/>
          <w:lang w:eastAsia="en-US"/>
        </w:rPr>
        <w:t>710</w:t>
      </w:r>
      <w:r w:rsidRPr="00A201E2">
        <w:rPr>
          <w:rFonts w:cs="Arial"/>
          <w:bCs/>
          <w:sz w:val="20"/>
          <w:szCs w:val="20"/>
          <w:u w:val="single"/>
          <w:lang w:eastAsia="en-US"/>
        </w:rPr>
        <w:t xml:space="preserve"> ze zm.).</w:t>
      </w:r>
      <w:r w:rsidRPr="00A201E2">
        <w:rPr>
          <w:rFonts w:cs="Arial"/>
          <w:bCs/>
          <w:sz w:val="20"/>
          <w:szCs w:val="20"/>
          <w:lang w:eastAsia="en-US"/>
        </w:rPr>
        <w:t xml:space="preserve"> </w:t>
      </w:r>
      <w:r w:rsidR="00A201E2" w:rsidRPr="00A201E2">
        <w:rPr>
          <w:rFonts w:cs="Arial"/>
          <w:bCs/>
          <w:sz w:val="20"/>
          <w:szCs w:val="20"/>
          <w:lang w:eastAsia="en-US"/>
        </w:rPr>
        <w:t xml:space="preserve">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t>
      </w:r>
      <w:r w:rsidR="00A201E2" w:rsidRPr="00A201E2">
        <w:rPr>
          <w:rFonts w:cs="Arial"/>
          <w:bCs/>
          <w:sz w:val="20"/>
          <w:szCs w:val="20"/>
          <w:lang w:eastAsia="en-US"/>
        </w:rPr>
        <w:br/>
        <w:t>w zakresie swoich uprawnień budowlanych.</w:t>
      </w:r>
      <w:r w:rsidR="00A201E2">
        <w:rPr>
          <w:rFonts w:cs="Arial"/>
          <w:bCs/>
          <w:sz w:val="20"/>
          <w:szCs w:val="20"/>
          <w:lang w:eastAsia="en-US"/>
        </w:rPr>
        <w:t xml:space="preserve"> </w:t>
      </w:r>
      <w:r w:rsidR="00A201E2" w:rsidRPr="00A201E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A201E2">
        <w:rPr>
          <w:rFonts w:cs="Arial"/>
          <w:bCs/>
          <w:sz w:val="20"/>
          <w:szCs w:val="20"/>
          <w:lang w:eastAsia="en-US"/>
        </w:rPr>
        <w:t xml:space="preserve"> </w:t>
      </w:r>
      <w:r w:rsidR="00A201E2" w:rsidRPr="00A201E2">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A201E2">
        <w:rPr>
          <w:rFonts w:cs="Arial"/>
          <w:bCs/>
          <w:sz w:val="20"/>
          <w:szCs w:val="20"/>
          <w:lang w:eastAsia="en-US"/>
        </w:rPr>
        <w:t xml:space="preserve"> </w:t>
      </w:r>
      <w:r w:rsidR="00A201E2" w:rsidRPr="00A201E2">
        <w:rPr>
          <w:rFonts w:cs="Arial"/>
          <w:bCs/>
          <w:sz w:val="20"/>
          <w:szCs w:val="20"/>
          <w:lang w:eastAsia="en-US"/>
        </w:rPr>
        <w:t>W ocenie Zamawiającego mały zakres zamówienia uzasadnia udzielenie zamówienia jednemu wykonawcy (inspektorowi nadzoru), który w imieniu Zamawiającego będzie czuwał nad prawidłową realizacją zadania.</w:t>
      </w:r>
    </w:p>
    <w:p w14:paraId="64E1C056" w14:textId="6FFE9B78" w:rsidR="000D4284" w:rsidRPr="00A201E2" w:rsidRDefault="000D4284" w:rsidP="00806056">
      <w:pPr>
        <w:keepNext/>
        <w:numPr>
          <w:ilvl w:val="1"/>
          <w:numId w:val="1"/>
        </w:numPr>
        <w:spacing w:before="120" w:after="120" w:line="276" w:lineRule="auto"/>
        <w:ind w:left="851" w:hanging="567"/>
        <w:jc w:val="both"/>
        <w:outlineLvl w:val="3"/>
        <w:rPr>
          <w:rFonts w:cs="Arial"/>
          <w:b/>
          <w:sz w:val="20"/>
          <w:szCs w:val="20"/>
          <w:lang w:eastAsia="en-US"/>
        </w:rPr>
      </w:pPr>
      <w:r w:rsidRPr="00A201E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4B4375DC"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lastRenderedPageBreak/>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A201E2">
        <w:rPr>
          <w:b/>
          <w:bCs/>
          <w:sz w:val="20"/>
          <w:szCs w:val="20"/>
        </w:rPr>
        <w:t>2</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6BA5F28F" w:rsidR="000D4284" w:rsidRPr="007A2130" w:rsidRDefault="000D4284" w:rsidP="007A2130">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A201E2">
        <w:rPr>
          <w:rFonts w:cs="Arial"/>
          <w:sz w:val="20"/>
          <w:szCs w:val="20"/>
          <w:lang w:eastAsia="en-US"/>
        </w:rPr>
        <w:t>oby</w:t>
      </w:r>
      <w:r w:rsidRPr="00DF7B2A">
        <w:rPr>
          <w:rFonts w:cs="Arial"/>
          <w:sz w:val="20"/>
          <w:szCs w:val="20"/>
          <w:lang w:eastAsia="en-US"/>
        </w:rPr>
        <w:t>, któr</w:t>
      </w:r>
      <w:r w:rsidR="00A201E2">
        <w:rPr>
          <w:rFonts w:cs="Arial"/>
          <w:sz w:val="20"/>
          <w:szCs w:val="20"/>
          <w:lang w:eastAsia="en-US"/>
        </w:rPr>
        <w:t>a</w:t>
      </w:r>
      <w:r>
        <w:rPr>
          <w:rFonts w:cs="Arial"/>
          <w:sz w:val="20"/>
          <w:szCs w:val="20"/>
          <w:lang w:eastAsia="en-US"/>
        </w:rPr>
        <w:t xml:space="preserve"> będ</w:t>
      </w:r>
      <w:r w:rsidR="00A201E2">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A201E2">
        <w:rPr>
          <w:rFonts w:cs="Arial"/>
          <w:sz w:val="20"/>
          <w:szCs w:val="20"/>
          <w:lang w:eastAsia="en-US"/>
        </w:rPr>
        <w:t>a</w:t>
      </w:r>
      <w:r w:rsidRPr="007A2130">
        <w:rPr>
          <w:rFonts w:cs="Arial"/>
          <w:sz w:val="20"/>
          <w:szCs w:val="20"/>
          <w:lang w:eastAsia="en-US"/>
        </w:rPr>
        <w:t xml:space="preserve"> się kwalifikacjami zawodowymi                         i doświadczeniem odpowiednim do funkcji, jak</w:t>
      </w:r>
      <w:r w:rsidR="00A201E2">
        <w:rPr>
          <w:rFonts w:cs="Arial"/>
          <w:sz w:val="20"/>
          <w:szCs w:val="20"/>
          <w:lang w:eastAsia="en-US"/>
        </w:rPr>
        <w:t>a</w:t>
      </w:r>
      <w:r w:rsidRPr="007A2130">
        <w:rPr>
          <w:rFonts w:cs="Arial"/>
          <w:sz w:val="20"/>
          <w:szCs w:val="20"/>
          <w:lang w:eastAsia="en-US"/>
        </w:rPr>
        <w:t xml:space="preserve"> zostan</w:t>
      </w:r>
      <w:r w:rsidR="00A201E2">
        <w:rPr>
          <w:rFonts w:cs="Arial"/>
          <w:sz w:val="20"/>
          <w:szCs w:val="20"/>
          <w:lang w:eastAsia="en-US"/>
        </w:rPr>
        <w:t>ie</w:t>
      </w:r>
      <w:r w:rsidRPr="007A2130">
        <w:rPr>
          <w:rFonts w:cs="Arial"/>
          <w:sz w:val="20"/>
          <w:szCs w:val="20"/>
          <w:lang w:eastAsia="en-US"/>
        </w:rPr>
        <w:t xml:space="preserve"> </w:t>
      </w:r>
      <w:r w:rsidR="00A201E2">
        <w:rPr>
          <w:rFonts w:cs="Arial"/>
          <w:sz w:val="20"/>
          <w:szCs w:val="20"/>
          <w:lang w:eastAsia="en-US"/>
        </w:rPr>
        <w:t>jej</w:t>
      </w:r>
      <w:r w:rsidRPr="007A2130">
        <w:rPr>
          <w:rFonts w:cs="Arial"/>
          <w:sz w:val="20"/>
          <w:szCs w:val="20"/>
          <w:lang w:eastAsia="en-US"/>
        </w:rPr>
        <w:t xml:space="preserve"> powierzon</w:t>
      </w:r>
      <w:r w:rsidR="00A201E2">
        <w:rPr>
          <w:rFonts w:cs="Arial"/>
          <w:sz w:val="20"/>
          <w:szCs w:val="20"/>
          <w:lang w:eastAsia="en-US"/>
        </w:rPr>
        <w:t>a</w:t>
      </w:r>
      <w:r w:rsidRPr="007A2130">
        <w:rPr>
          <w:rFonts w:cs="Arial"/>
          <w:sz w:val="20"/>
          <w:szCs w:val="20"/>
          <w:lang w:eastAsia="en-US"/>
        </w:rPr>
        <w:t>. Wykonawca na funkcj</w:t>
      </w:r>
      <w:r w:rsidR="007A2130">
        <w:rPr>
          <w:rFonts w:cs="Arial"/>
          <w:sz w:val="20"/>
          <w:szCs w:val="20"/>
          <w:lang w:eastAsia="en-US"/>
        </w:rPr>
        <w:t>e</w:t>
      </w:r>
      <w:r w:rsidRPr="007A2130">
        <w:rPr>
          <w:rFonts w:cs="Arial"/>
          <w:sz w:val="20"/>
          <w:szCs w:val="20"/>
          <w:lang w:eastAsia="en-US"/>
        </w:rPr>
        <w:t xml:space="preserve"> wymienion</w:t>
      </w:r>
      <w:r w:rsidR="007A2130">
        <w:rPr>
          <w:rFonts w:cs="Arial"/>
          <w:sz w:val="20"/>
          <w:szCs w:val="20"/>
          <w:lang w:eastAsia="en-US"/>
        </w:rPr>
        <w:t>e</w:t>
      </w:r>
      <w:r w:rsidRPr="007A2130">
        <w:rPr>
          <w:rFonts w:cs="Arial"/>
          <w:sz w:val="20"/>
          <w:szCs w:val="20"/>
          <w:lang w:eastAsia="en-US"/>
        </w:rPr>
        <w:t xml:space="preserve"> poniżej, wskaże osobę, któr</w:t>
      </w:r>
      <w:r w:rsidR="00A201E2">
        <w:rPr>
          <w:rFonts w:cs="Arial"/>
          <w:sz w:val="20"/>
          <w:szCs w:val="20"/>
          <w:lang w:eastAsia="en-US"/>
        </w:rPr>
        <w:t>ą</w:t>
      </w:r>
      <w:r w:rsidRPr="007A2130">
        <w:rPr>
          <w:rFonts w:cs="Arial"/>
          <w:sz w:val="20"/>
          <w:szCs w:val="20"/>
          <w:lang w:eastAsia="en-US"/>
        </w:rPr>
        <w:t xml:space="preserve"> musi mieć dostępn</w:t>
      </w:r>
      <w:r w:rsidR="00A201E2">
        <w:rPr>
          <w:rFonts w:cs="Arial"/>
          <w:sz w:val="20"/>
          <w:szCs w:val="20"/>
          <w:lang w:eastAsia="en-US"/>
        </w:rPr>
        <w:t>ą</w:t>
      </w:r>
      <w:r w:rsidRPr="007A2130">
        <w:rPr>
          <w:rFonts w:cs="Arial"/>
          <w:sz w:val="20"/>
          <w:szCs w:val="20"/>
          <w:lang w:eastAsia="en-US"/>
        </w:rPr>
        <w:t xml:space="preserve"> na etapie realizacji zamówienia, spełniając</w:t>
      </w:r>
      <w:r w:rsidR="00A201E2">
        <w:rPr>
          <w:rFonts w:cs="Arial"/>
          <w:sz w:val="20"/>
          <w:szCs w:val="20"/>
          <w:lang w:eastAsia="en-US"/>
        </w:rPr>
        <w:t>a</w:t>
      </w:r>
      <w:r w:rsidRPr="007A2130">
        <w:rPr>
          <w:rFonts w:cs="Arial"/>
          <w:sz w:val="20"/>
          <w:szCs w:val="20"/>
          <w:lang w:eastAsia="en-US"/>
        </w:rPr>
        <w:t xml:space="preserve"> następujące wymagania:</w:t>
      </w:r>
    </w:p>
    <w:p w14:paraId="3FA514B2" w14:textId="2A19FF20" w:rsidR="008B677A" w:rsidRP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t>
      </w:r>
      <w:r w:rsidR="00A201E2">
        <w:rPr>
          <w:rFonts w:cs="Arial"/>
          <w:b/>
          <w:bCs/>
          <w:sz w:val="20"/>
          <w:szCs w:val="20"/>
          <w:lang w:eastAsia="en-US"/>
        </w:rPr>
        <w:br/>
      </w:r>
      <w:r w:rsidRPr="008B677A">
        <w:rPr>
          <w:rFonts w:cs="Arial"/>
          <w:b/>
          <w:bCs/>
          <w:sz w:val="20"/>
          <w:szCs w:val="20"/>
          <w:lang w:eastAsia="en-US"/>
        </w:rPr>
        <w:t xml:space="preserve">w zakresie sieci, instalacji i urządzeń: elektrycznych </w:t>
      </w:r>
      <w:r w:rsidR="00A201E2">
        <w:rPr>
          <w:rFonts w:cs="Arial"/>
          <w:b/>
          <w:bCs/>
          <w:sz w:val="20"/>
          <w:szCs w:val="20"/>
          <w:lang w:eastAsia="en-US"/>
        </w:rPr>
        <w:br/>
      </w:r>
      <w:r w:rsidRPr="008B677A">
        <w:rPr>
          <w:rFonts w:cs="Arial"/>
          <w:b/>
          <w:bCs/>
          <w:sz w:val="20"/>
          <w:szCs w:val="20"/>
          <w:lang w:eastAsia="en-US"/>
        </w:rPr>
        <w:t xml:space="preserve">i elektroenergetycznych </w:t>
      </w:r>
      <w:r w:rsidRPr="008B677A">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11425BD0"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w:t>
      </w:r>
      <w:r w:rsidRPr="00BF29F0">
        <w:rPr>
          <w:rFonts w:ascii="Arial" w:hAnsi="Arial" w:cs="Arial"/>
          <w:b w:val="0"/>
          <w:i/>
          <w:sz w:val="20"/>
        </w:rPr>
        <w:lastRenderedPageBreak/>
        <w:t xml:space="preserve">ustawy Prawo Budowlane (t. j. – Dz. U. z </w:t>
      </w:r>
      <w:r w:rsidRPr="00DF7B2A">
        <w:rPr>
          <w:rFonts w:ascii="Arial" w:hAnsi="Arial" w:cs="Arial"/>
          <w:b w:val="0"/>
          <w:i/>
          <w:sz w:val="20"/>
        </w:rPr>
        <w:t>202</w:t>
      </w:r>
      <w:r>
        <w:rPr>
          <w:rFonts w:ascii="Arial" w:hAnsi="Arial" w:cs="Arial"/>
          <w:b w:val="0"/>
          <w:i/>
          <w:sz w:val="20"/>
        </w:rPr>
        <w:t>1</w:t>
      </w:r>
      <w:r w:rsidRPr="00DF7B2A">
        <w:rPr>
          <w:rFonts w:ascii="Arial" w:hAnsi="Arial" w:cs="Arial"/>
          <w:b w:val="0"/>
          <w:i/>
          <w:sz w:val="20"/>
        </w:rPr>
        <w:t xml:space="preserve"> r. poz. </w:t>
      </w:r>
      <w:r>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5A18B6">
      <w:pPr>
        <w:keepNext/>
        <w:numPr>
          <w:ilvl w:val="0"/>
          <w:numId w:val="1"/>
        </w:numPr>
        <w:spacing w:before="120" w:after="120"/>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5A18B6">
      <w:pPr>
        <w:keepNext/>
        <w:numPr>
          <w:ilvl w:val="3"/>
          <w:numId w:val="1"/>
        </w:numPr>
        <w:spacing w:before="120" w:after="120"/>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5A18B6">
      <w:pPr>
        <w:keepNext/>
        <w:numPr>
          <w:ilvl w:val="2"/>
          <w:numId w:val="1"/>
        </w:numPr>
        <w:spacing w:before="120" w:after="120"/>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0D07EA08" w14:textId="72290A2E" w:rsidR="005A18B6"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2B78726C" w14:textId="3B2447F2" w:rsidR="00A201E2" w:rsidRDefault="00A201E2" w:rsidP="00A201E2">
      <w:pPr>
        <w:spacing w:before="120" w:after="120"/>
        <w:ind w:left="1049" w:right="91"/>
        <w:jc w:val="both"/>
        <w:rPr>
          <w:rFonts w:cs="Arial"/>
          <w:b/>
          <w:bCs/>
          <w:sz w:val="20"/>
          <w:szCs w:val="20"/>
          <w:u w:val="single"/>
        </w:rPr>
      </w:pPr>
    </w:p>
    <w:p w14:paraId="79E8D5A5" w14:textId="77777777" w:rsidR="00A201E2" w:rsidRPr="00EC50A5" w:rsidRDefault="00A201E2" w:rsidP="00A201E2">
      <w:pPr>
        <w:spacing w:before="120" w:after="120"/>
        <w:ind w:left="1049" w:right="91"/>
        <w:jc w:val="both"/>
        <w:rPr>
          <w:rFonts w:cs="Arial"/>
          <w:b/>
          <w:bCs/>
          <w:sz w:val="20"/>
          <w:szCs w:val="20"/>
          <w:u w:val="single"/>
        </w:rPr>
      </w:pPr>
    </w:p>
    <w:p w14:paraId="03A9F87F"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F738D0">
        <w:rPr>
          <w:rFonts w:cs="Arial"/>
          <w:sz w:val="20"/>
          <w:szCs w:val="20"/>
        </w:rPr>
        <w:lastRenderedPageBreak/>
        <w:t xml:space="preserve">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0DC8AF20"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w:t>
      </w:r>
      <w:r w:rsidR="00A201E2">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lastRenderedPageBreak/>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7777777"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6B2B22C4"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A201E2">
        <w:rPr>
          <w:rFonts w:cs="Arial"/>
          <w:b/>
          <w:sz w:val="20"/>
          <w:szCs w:val="20"/>
          <w:highlight w:val="lightGray"/>
          <w:lang w:eastAsia="en-US"/>
        </w:rPr>
        <w:t>02</w:t>
      </w:r>
      <w:r w:rsidRPr="009E4FBB">
        <w:rPr>
          <w:rFonts w:cs="Arial"/>
          <w:b/>
          <w:sz w:val="20"/>
          <w:szCs w:val="20"/>
          <w:highlight w:val="lightGray"/>
          <w:lang w:eastAsia="en-US"/>
        </w:rPr>
        <w:t>.</w:t>
      </w:r>
      <w:r>
        <w:rPr>
          <w:rFonts w:cs="Arial"/>
          <w:b/>
          <w:sz w:val="20"/>
          <w:szCs w:val="20"/>
          <w:highlight w:val="lightGray"/>
          <w:lang w:eastAsia="en-US"/>
        </w:rPr>
        <w:t>0</w:t>
      </w:r>
      <w:r w:rsidR="00A201E2">
        <w:rPr>
          <w:rFonts w:cs="Arial"/>
          <w:b/>
          <w:sz w:val="20"/>
          <w:szCs w:val="20"/>
          <w:highlight w:val="lightGray"/>
          <w:lang w:eastAsia="en-US"/>
        </w:rPr>
        <w:t>5</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5DDDA022"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201E2">
        <w:rPr>
          <w:rFonts w:cs="Arial"/>
          <w:b/>
          <w:sz w:val="20"/>
          <w:szCs w:val="20"/>
          <w:highlight w:val="lightGray"/>
          <w:lang w:eastAsia="en-US"/>
        </w:rPr>
        <w:t>03</w:t>
      </w:r>
      <w:r w:rsidRPr="009E4FBB">
        <w:rPr>
          <w:rFonts w:cs="Arial"/>
          <w:b/>
          <w:sz w:val="20"/>
          <w:szCs w:val="20"/>
          <w:highlight w:val="lightGray"/>
          <w:lang w:eastAsia="en-US"/>
        </w:rPr>
        <w:t>.</w:t>
      </w:r>
      <w:r>
        <w:rPr>
          <w:rFonts w:cs="Arial"/>
          <w:b/>
          <w:sz w:val="20"/>
          <w:szCs w:val="20"/>
          <w:highlight w:val="lightGray"/>
          <w:lang w:eastAsia="en-US"/>
        </w:rPr>
        <w:t>0</w:t>
      </w:r>
      <w:r w:rsidR="00A201E2">
        <w:rPr>
          <w:rFonts w:cs="Arial"/>
          <w:b/>
          <w:sz w:val="20"/>
          <w:szCs w:val="20"/>
          <w:highlight w:val="lightGray"/>
          <w:lang w:eastAsia="en-US"/>
        </w:rPr>
        <w:t>4</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A201E2">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074EB37D"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201E2">
        <w:rPr>
          <w:rFonts w:cs="Arial"/>
          <w:b/>
          <w:sz w:val="20"/>
          <w:szCs w:val="20"/>
          <w:highlight w:val="lightGray"/>
          <w:lang w:eastAsia="en-US"/>
        </w:rPr>
        <w:t>03</w:t>
      </w:r>
      <w:r>
        <w:rPr>
          <w:rFonts w:cs="Arial"/>
          <w:b/>
          <w:sz w:val="20"/>
          <w:szCs w:val="20"/>
          <w:highlight w:val="lightGray"/>
          <w:lang w:eastAsia="en-US"/>
        </w:rPr>
        <w:t>.0</w:t>
      </w:r>
      <w:r w:rsidR="00A201E2">
        <w:rPr>
          <w:rFonts w:cs="Arial"/>
          <w:b/>
          <w:sz w:val="20"/>
          <w:szCs w:val="20"/>
          <w:highlight w:val="lightGray"/>
          <w:lang w:eastAsia="en-US"/>
        </w:rPr>
        <w:t>4</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A201E2">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0"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lastRenderedPageBreak/>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3BC65635" w14:textId="30942D8A" w:rsidR="00A34466" w:rsidRPr="00CE75D2" w:rsidRDefault="00A34466" w:rsidP="00CE75D2">
      <w:pPr>
        <w:keepNext/>
        <w:numPr>
          <w:ilvl w:val="2"/>
          <w:numId w:val="1"/>
        </w:numPr>
        <w:spacing w:before="120"/>
        <w:ind w:left="1418" w:hanging="698"/>
        <w:jc w:val="both"/>
        <w:outlineLvl w:val="3"/>
        <w:rPr>
          <w:rFonts w:cs="Arial"/>
          <w:sz w:val="20"/>
          <w:szCs w:val="20"/>
        </w:rPr>
      </w:pPr>
      <w:r w:rsidRPr="007E1BE3">
        <w:rPr>
          <w:rFonts w:cs="Arial"/>
          <w:sz w:val="20"/>
          <w:szCs w:val="20"/>
        </w:rPr>
        <w:t>Doświadczenie Inspektora nadzoru branży</w:t>
      </w:r>
      <w:r w:rsidRPr="00F615D6">
        <w:rPr>
          <w:rFonts w:cs="Arial"/>
          <w:sz w:val="20"/>
          <w:szCs w:val="20"/>
        </w:rPr>
        <w:t xml:space="preserve"> </w:t>
      </w:r>
      <w:r>
        <w:rPr>
          <w:rFonts w:cs="Arial"/>
          <w:sz w:val="20"/>
          <w:szCs w:val="20"/>
        </w:rPr>
        <w:t>elektrycznej i elektroenergetycznej</w:t>
      </w:r>
      <w:r w:rsidRPr="00F615D6">
        <w:rPr>
          <w:rFonts w:cs="Arial"/>
          <w:sz w:val="20"/>
          <w:szCs w:val="20"/>
        </w:rPr>
        <w:t xml:space="preserve"> </w:t>
      </w:r>
      <w:r w:rsidRPr="0091655E">
        <w:rPr>
          <w:rFonts w:cs="Arial"/>
          <w:sz w:val="20"/>
          <w:szCs w:val="20"/>
        </w:rPr>
        <w:t xml:space="preserve">nad </w:t>
      </w:r>
      <w:r w:rsidR="00CE75D2" w:rsidRPr="00CE75D2">
        <w:rPr>
          <w:rFonts w:cs="Arial"/>
          <w:sz w:val="20"/>
          <w:szCs w:val="20"/>
        </w:rPr>
        <w:t>budową lub przebudową linii oświetlenia drogowego lub parkowego</w:t>
      </w:r>
      <w:r w:rsidR="00CE75D2">
        <w:rPr>
          <w:rFonts w:cs="Arial"/>
          <w:sz w:val="20"/>
          <w:szCs w:val="20"/>
        </w:rPr>
        <w:t xml:space="preserve"> </w:t>
      </w:r>
      <w:r w:rsidRPr="00CE75D2">
        <w:rPr>
          <w:rFonts w:cs="Arial"/>
          <w:sz w:val="20"/>
          <w:szCs w:val="20"/>
        </w:rPr>
        <w:t>-„D” (maksymalna liczba punktów do uzyskania wynosi 40).</w:t>
      </w:r>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80"/>
        <w:gridCol w:w="1220"/>
        <w:gridCol w:w="5663"/>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89518B">
        <w:trPr>
          <w:cantSplit/>
          <w:trHeight w:val="3065"/>
          <w:jc w:val="center"/>
        </w:trPr>
        <w:tc>
          <w:tcPr>
            <w:tcW w:w="877" w:type="pct"/>
            <w:vAlign w:val="center"/>
          </w:tcPr>
          <w:p w14:paraId="7F6579F6" w14:textId="63E3C6AB" w:rsidR="000D4284" w:rsidRPr="00D92B46" w:rsidRDefault="00A34466" w:rsidP="0089518B">
            <w:pPr>
              <w:keepNext/>
              <w:jc w:val="center"/>
              <w:outlineLvl w:val="3"/>
              <w:rPr>
                <w:rFonts w:cs="Arial"/>
                <w:b/>
                <w:sz w:val="16"/>
                <w:szCs w:val="16"/>
                <w:lang w:eastAsia="en-US"/>
              </w:rPr>
            </w:pPr>
            <w:r w:rsidRPr="00F60366">
              <w:rPr>
                <w:rFonts w:cs="Arial"/>
                <w:b/>
                <w:sz w:val="16"/>
                <w:szCs w:val="16"/>
                <w:lang w:eastAsia="en-US"/>
              </w:rPr>
              <w:t xml:space="preserve">Doświadczenie osoby, która będzie pełnić funkcję Inspektora nadzoru robót branży </w:t>
            </w:r>
            <w:r w:rsidRPr="00A31CB6">
              <w:rPr>
                <w:rFonts w:cs="Arial"/>
                <w:b/>
                <w:sz w:val="16"/>
                <w:szCs w:val="16"/>
                <w:lang w:eastAsia="en-US"/>
              </w:rPr>
              <w:t>elektrycznej i elektroenergetycznej</w:t>
            </w:r>
          </w:p>
        </w:tc>
        <w:tc>
          <w:tcPr>
            <w:tcW w:w="482" w:type="pct"/>
            <w:vAlign w:val="center"/>
          </w:tcPr>
          <w:p w14:paraId="7304E00E"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89518B">
            <w:pPr>
              <w:tabs>
                <w:tab w:val="num" w:pos="0"/>
              </w:tabs>
              <w:rPr>
                <w:rFonts w:eastAsia="MS Mincho" w:cs="Arial"/>
                <w:b/>
                <w:sz w:val="16"/>
                <w:szCs w:val="16"/>
                <w:lang w:eastAsia="en-US"/>
              </w:rPr>
            </w:pPr>
          </w:p>
          <w:p w14:paraId="03CF0101" w14:textId="77777777" w:rsidR="00A34466" w:rsidRPr="007E1BE3" w:rsidRDefault="00A34466" w:rsidP="00A34466">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37663C29" w14:textId="77777777" w:rsidR="00A34466" w:rsidRPr="007E1BE3" w:rsidRDefault="00A34466" w:rsidP="00A34466">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sidRPr="00A31CB6">
              <w:rPr>
                <w:rFonts w:eastAsia="Calibri" w:cs="Arial"/>
                <w:sz w:val="16"/>
                <w:szCs w:val="16"/>
                <w:lang w:eastAsia="en-US"/>
              </w:rPr>
              <w:t>elektrycznej i elektroenergetycznej</w:t>
            </w:r>
            <w:r w:rsidRPr="00F615D6">
              <w:rPr>
                <w:rFonts w:cs="Arial"/>
                <w:sz w:val="20"/>
                <w:szCs w:val="20"/>
              </w:rPr>
              <w:t xml:space="preserve"> </w:t>
            </w:r>
            <w:r w:rsidRPr="007E1BE3">
              <w:rPr>
                <w:rFonts w:eastAsia="Calibri" w:cs="Arial"/>
                <w:sz w:val="16"/>
                <w:szCs w:val="16"/>
                <w:lang w:eastAsia="en-US"/>
              </w:rPr>
              <w:t xml:space="preserve">posiada doświadczenie w pełnieniu funkcji inspektora nadzoru inwestorskiego robót </w:t>
            </w:r>
            <w:r>
              <w:rPr>
                <w:rFonts w:eastAsia="Calibri" w:cs="Arial"/>
                <w:sz w:val="16"/>
                <w:szCs w:val="16"/>
                <w:lang w:eastAsia="en-US"/>
              </w:rPr>
              <w:t xml:space="preserve">branży </w:t>
            </w:r>
            <w:r w:rsidRPr="00A31CB6">
              <w:rPr>
                <w:rFonts w:eastAsia="Calibri" w:cs="Arial"/>
                <w:sz w:val="16"/>
                <w:szCs w:val="16"/>
                <w:lang w:eastAsia="en-US"/>
              </w:rPr>
              <w:t xml:space="preserve">elektrycznej i elektroenergetycznej </w:t>
            </w:r>
            <w:r w:rsidRPr="007E1BE3">
              <w:rPr>
                <w:rFonts w:eastAsia="Calibri" w:cs="Arial"/>
                <w:sz w:val="16"/>
                <w:szCs w:val="16"/>
                <w:lang w:eastAsia="en-US"/>
              </w:rPr>
              <w:t xml:space="preserve">lub kierownika robót </w:t>
            </w:r>
            <w:r>
              <w:rPr>
                <w:rFonts w:eastAsia="Calibri" w:cs="Arial"/>
                <w:sz w:val="16"/>
                <w:szCs w:val="16"/>
                <w:lang w:eastAsia="en-US"/>
              </w:rPr>
              <w:t xml:space="preserve">branży </w:t>
            </w:r>
            <w:r w:rsidRPr="00A31CB6">
              <w:rPr>
                <w:rFonts w:eastAsia="Calibri" w:cs="Arial"/>
                <w:sz w:val="16"/>
                <w:szCs w:val="16"/>
                <w:lang w:eastAsia="en-US"/>
              </w:rPr>
              <w:t>elektrycznej i elektroenergetycznej</w:t>
            </w:r>
            <w:r w:rsidRPr="00F615D6">
              <w:rPr>
                <w:rFonts w:cs="Arial"/>
                <w:sz w:val="20"/>
                <w:szCs w:val="20"/>
              </w:rPr>
              <w:t xml:space="preserve"> </w:t>
            </w:r>
            <w:r w:rsidRPr="007E1BE3">
              <w:rPr>
                <w:rFonts w:eastAsia="Calibri" w:cs="Arial"/>
                <w:sz w:val="16"/>
                <w:szCs w:val="16"/>
                <w:lang w:eastAsia="en-US"/>
              </w:rPr>
              <w:t>na:</w:t>
            </w:r>
          </w:p>
          <w:p w14:paraId="681EBE98" w14:textId="1AA19D36" w:rsidR="00A34466" w:rsidRPr="00CE75D2" w:rsidRDefault="00A34466" w:rsidP="00A3446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dwóch lub więcej z</w:t>
            </w:r>
            <w:r>
              <w:rPr>
                <w:rFonts w:eastAsia="Calibri" w:cs="Arial"/>
                <w:sz w:val="16"/>
                <w:szCs w:val="16"/>
                <w:lang w:eastAsia="en-US"/>
              </w:rPr>
              <w:t xml:space="preserve">adaniach dot. budowy lub przebudowy </w:t>
            </w:r>
            <w:r w:rsidRPr="00477F90">
              <w:rPr>
                <w:rFonts w:eastAsia="Calibri" w:cs="Arial"/>
                <w:sz w:val="16"/>
                <w:szCs w:val="16"/>
                <w:lang w:eastAsia="en-US"/>
              </w:rPr>
              <w:t xml:space="preserve">linii </w:t>
            </w:r>
            <w:r w:rsidRPr="00CE75D2">
              <w:rPr>
                <w:rFonts w:eastAsia="Calibri" w:cs="Arial"/>
                <w:sz w:val="16"/>
                <w:szCs w:val="16"/>
                <w:lang w:eastAsia="en-US"/>
              </w:rPr>
              <w:t>oświetlenia drogowego</w:t>
            </w:r>
            <w:r w:rsidR="00CE75D2" w:rsidRPr="00CE75D2">
              <w:rPr>
                <w:rFonts w:eastAsia="Calibri" w:cs="Arial"/>
                <w:sz w:val="16"/>
                <w:szCs w:val="16"/>
                <w:lang w:eastAsia="en-US"/>
              </w:rPr>
              <w:t xml:space="preserve"> lub parkowego</w:t>
            </w:r>
            <w:r w:rsidRPr="00CE75D2">
              <w:rPr>
                <w:rFonts w:cs="Arial"/>
                <w:sz w:val="20"/>
                <w:szCs w:val="20"/>
              </w:rPr>
              <w:t xml:space="preserve">  </w:t>
            </w:r>
            <w:r w:rsidRPr="00CE75D2">
              <w:rPr>
                <w:rFonts w:eastAsia="Calibri" w:cs="Arial"/>
                <w:sz w:val="16"/>
                <w:szCs w:val="16"/>
                <w:lang w:eastAsia="en-US"/>
              </w:rPr>
              <w:t xml:space="preserve">- </w:t>
            </w:r>
            <w:r w:rsidRPr="00CE75D2">
              <w:rPr>
                <w:rFonts w:eastAsia="Calibri" w:cs="Arial"/>
                <w:b/>
                <w:sz w:val="16"/>
                <w:szCs w:val="16"/>
                <w:lang w:eastAsia="en-US"/>
              </w:rPr>
              <w:t>40 punktów</w:t>
            </w:r>
          </w:p>
          <w:p w14:paraId="7E82B4EA" w14:textId="50916C9C" w:rsidR="00A34466" w:rsidRPr="007E1BE3" w:rsidRDefault="00A34466" w:rsidP="00A3446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CE75D2">
              <w:rPr>
                <w:rFonts w:eastAsia="Calibri" w:cs="Arial"/>
                <w:sz w:val="16"/>
                <w:szCs w:val="16"/>
                <w:lang w:eastAsia="en-US"/>
              </w:rPr>
              <w:t>jednym zadaniu dot. budowy lub przebudowy linii oświetlenia drogowego</w:t>
            </w:r>
            <w:r w:rsidR="00CE75D2" w:rsidRPr="00CE75D2">
              <w:rPr>
                <w:rFonts w:eastAsia="Calibri" w:cs="Arial"/>
                <w:sz w:val="16"/>
                <w:szCs w:val="16"/>
                <w:lang w:eastAsia="en-US"/>
              </w:rPr>
              <w:t xml:space="preserve"> lub parkowego</w:t>
            </w:r>
            <w:r w:rsidRPr="00CE75D2">
              <w:rPr>
                <w:rFonts w:cs="Arial"/>
                <w:sz w:val="20"/>
                <w:szCs w:val="20"/>
              </w:rPr>
              <w:t xml:space="preserve">  </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77638431" w14:textId="77777777" w:rsidR="00A34466" w:rsidRPr="007E1BE3" w:rsidRDefault="00A34466" w:rsidP="00A34466">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3FD35080" w14:textId="77777777" w:rsidR="00A34466" w:rsidRPr="007E1BE3" w:rsidRDefault="00A34466" w:rsidP="00A34466">
            <w:pPr>
              <w:autoSpaceDE w:val="0"/>
              <w:autoSpaceDN w:val="0"/>
              <w:adjustRightInd w:val="0"/>
              <w:jc w:val="both"/>
              <w:rPr>
                <w:rFonts w:eastAsia="Calibri" w:cs="Arial"/>
                <w:b/>
                <w:bCs/>
                <w:sz w:val="16"/>
                <w:szCs w:val="16"/>
                <w:lang w:eastAsia="en-US"/>
              </w:rPr>
            </w:pPr>
          </w:p>
          <w:p w14:paraId="28C40C5A" w14:textId="77777777" w:rsidR="00A34466" w:rsidRDefault="00A34466" w:rsidP="00A34466">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04DD8321" w14:textId="77777777" w:rsidR="000D4284" w:rsidRPr="007E1BE3" w:rsidRDefault="000D4284" w:rsidP="0089518B">
            <w:pPr>
              <w:autoSpaceDE w:val="0"/>
              <w:autoSpaceDN w:val="0"/>
              <w:adjustRightInd w:val="0"/>
              <w:jc w:val="both"/>
              <w:rPr>
                <w:rFonts w:eastAsia="Calibri" w:cs="Arial"/>
                <w:b/>
                <w:sz w:val="16"/>
                <w:szCs w:val="16"/>
              </w:rPr>
            </w:pPr>
          </w:p>
        </w:tc>
      </w:tr>
      <w:bookmarkEnd w:id="0"/>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49EDBF18" w14:textId="12589CE5" w:rsidR="00A34466" w:rsidRPr="00413B96" w:rsidRDefault="00A34466" w:rsidP="00A34466">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liczbę punktów za kryterium „</w:t>
      </w:r>
      <w:r w:rsidRPr="007E1BE3">
        <w:rPr>
          <w:rFonts w:cs="Arial"/>
          <w:sz w:val="20"/>
          <w:szCs w:val="20"/>
        </w:rPr>
        <w:t>Doświadczenie Inspektora nadzoru branży</w:t>
      </w:r>
      <w:r w:rsidRPr="00F615D6">
        <w:rPr>
          <w:rFonts w:cs="Arial"/>
          <w:sz w:val="20"/>
          <w:szCs w:val="20"/>
        </w:rPr>
        <w:t xml:space="preserve"> </w:t>
      </w:r>
      <w:r>
        <w:rPr>
          <w:rFonts w:cs="Arial"/>
          <w:sz w:val="20"/>
          <w:szCs w:val="20"/>
        </w:rPr>
        <w:t xml:space="preserve">elektrycznej </w:t>
      </w:r>
      <w:r>
        <w:rPr>
          <w:rFonts w:cs="Arial"/>
          <w:sz w:val="20"/>
          <w:szCs w:val="20"/>
        </w:rPr>
        <w:br/>
        <w:t xml:space="preserve">i </w:t>
      </w:r>
      <w:r w:rsidRPr="00CE75D2">
        <w:rPr>
          <w:rFonts w:cs="Arial"/>
          <w:sz w:val="20"/>
          <w:szCs w:val="20"/>
        </w:rPr>
        <w:t>elektroenergetycznej nad budową lub przebudową linii oświetlenia drogowego</w:t>
      </w:r>
      <w:r w:rsidR="00CE75D2" w:rsidRPr="00CE75D2">
        <w:rPr>
          <w:rFonts w:cs="Arial"/>
          <w:sz w:val="20"/>
          <w:szCs w:val="20"/>
        </w:rPr>
        <w:t xml:space="preserve"> lub parkowego</w:t>
      </w:r>
      <w:r w:rsidRPr="00CE75D2">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w:t>
      </w:r>
      <w:r w:rsidRPr="008A5BE8">
        <w:rPr>
          <w:sz w:val="20"/>
          <w:szCs w:val="20"/>
        </w:rPr>
        <w:lastRenderedPageBreak/>
        <w:t xml:space="preserve">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6B96C0D7"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1E71A025" w14:textId="77777777" w:rsidR="00492F47" w:rsidRPr="00DE66C2" w:rsidRDefault="00492F47" w:rsidP="00492F47">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1170F83C" w14:textId="66E31219" w:rsidR="00492F47" w:rsidRDefault="00492F47" w:rsidP="00492F47">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303A319C" w14:textId="4154527B" w:rsidR="00A34466" w:rsidRDefault="00A34466" w:rsidP="00A34466">
      <w:pPr>
        <w:keepNext/>
        <w:spacing w:after="120" w:line="276" w:lineRule="auto"/>
        <w:ind w:left="1985"/>
        <w:jc w:val="both"/>
        <w:outlineLvl w:val="3"/>
        <w:rPr>
          <w:rFonts w:cs="Arial"/>
          <w:bCs/>
          <w:sz w:val="20"/>
          <w:szCs w:val="20"/>
        </w:rPr>
      </w:pPr>
    </w:p>
    <w:p w14:paraId="5AED1D76" w14:textId="55901D78" w:rsidR="00A34466" w:rsidRDefault="00A34466" w:rsidP="00A34466">
      <w:pPr>
        <w:keepNext/>
        <w:spacing w:after="120" w:line="276" w:lineRule="auto"/>
        <w:ind w:left="1985"/>
        <w:jc w:val="both"/>
        <w:outlineLvl w:val="3"/>
        <w:rPr>
          <w:rFonts w:cs="Arial"/>
          <w:bCs/>
          <w:sz w:val="20"/>
          <w:szCs w:val="20"/>
        </w:rPr>
      </w:pPr>
    </w:p>
    <w:p w14:paraId="14C76A20" w14:textId="413F05D2" w:rsidR="00A34466" w:rsidRDefault="00A34466" w:rsidP="00A34466">
      <w:pPr>
        <w:keepNext/>
        <w:spacing w:after="120" w:line="276" w:lineRule="auto"/>
        <w:ind w:left="1985"/>
        <w:jc w:val="both"/>
        <w:outlineLvl w:val="3"/>
        <w:rPr>
          <w:rFonts w:cs="Arial"/>
          <w:bCs/>
          <w:sz w:val="20"/>
          <w:szCs w:val="20"/>
        </w:rPr>
      </w:pPr>
    </w:p>
    <w:p w14:paraId="29CF2BF9" w14:textId="77777777" w:rsidR="00A34466" w:rsidRPr="00A34466" w:rsidRDefault="00A34466" w:rsidP="00A34466">
      <w:pPr>
        <w:keepNext/>
        <w:spacing w:after="120" w:line="276" w:lineRule="auto"/>
        <w:ind w:left="1985"/>
        <w:jc w:val="both"/>
        <w:outlineLvl w:val="3"/>
        <w:rPr>
          <w:rFonts w:cs="Arial"/>
          <w:bCs/>
          <w:sz w:val="20"/>
          <w:szCs w:val="20"/>
        </w:rPr>
      </w:pPr>
    </w:p>
    <w:p w14:paraId="4E8A2BC0" w14:textId="25BD50B9" w:rsidR="00492F47" w:rsidRDefault="00492F47" w:rsidP="00492F47">
      <w:pPr>
        <w:spacing w:after="120" w:line="276" w:lineRule="auto"/>
        <w:jc w:val="both"/>
        <w:rPr>
          <w:sz w:val="20"/>
          <w:szCs w:val="20"/>
        </w:rPr>
      </w:pPr>
    </w:p>
    <w:p w14:paraId="6ACE993A" w14:textId="77777777" w:rsidR="00492F47" w:rsidRDefault="00492F47" w:rsidP="00492F47">
      <w:pPr>
        <w:spacing w:after="120" w:line="276" w:lineRule="auto"/>
        <w:jc w:val="both"/>
        <w:rPr>
          <w:sz w:val="20"/>
          <w:szCs w:val="20"/>
        </w:rPr>
      </w:pPr>
    </w:p>
    <w:p w14:paraId="05B5CC9C" w14:textId="77777777" w:rsidR="000D4284" w:rsidRPr="000D4789" w:rsidRDefault="000D4284" w:rsidP="00A3446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lastRenderedPageBreak/>
        <w:t>wstrzymania realizacji robót budowlanych objętych nadzorem z przyczyn niezależnych od Wykonawcy, co uniemożliwia terminowe zakończenie realizacji przedmiotu umowy.</w:t>
      </w:r>
    </w:p>
    <w:p w14:paraId="2A773E3C" w14:textId="77777777" w:rsidR="000D4284" w:rsidRPr="00C71B77" w:rsidRDefault="000D4284" w:rsidP="00A34466">
      <w:pPr>
        <w:keepNext/>
        <w:numPr>
          <w:ilvl w:val="2"/>
          <w:numId w:val="1"/>
        </w:numPr>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A3446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A3446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A3446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A3446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131E25F9"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49B55062" w14:textId="77777777" w:rsidR="00492F47" w:rsidRPr="00930270" w:rsidRDefault="00492F47" w:rsidP="00492F47">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6A381C0" w14:textId="77777777" w:rsidR="00492F47" w:rsidRDefault="00492F47" w:rsidP="00492F47">
      <w:pPr>
        <w:spacing w:after="120" w:line="276" w:lineRule="auto"/>
        <w:jc w:val="both"/>
        <w:rPr>
          <w:sz w:val="20"/>
          <w:szCs w:val="20"/>
        </w:rPr>
      </w:pPr>
    </w:p>
    <w:p w14:paraId="6F9697E2" w14:textId="77777777" w:rsidR="000D4284" w:rsidRPr="000D4789"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3335BA8B" w14:textId="77777777" w:rsidR="000D4284" w:rsidRDefault="000D4284" w:rsidP="000D4284">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2F42242A" w14:textId="77777777" w:rsidR="000D4284" w:rsidRDefault="000D4284" w:rsidP="000D4284">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772258B" w14:textId="77777777" w:rsidR="000D4284" w:rsidRPr="0014207F" w:rsidRDefault="000D4284" w:rsidP="000D4284">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11170783" w14:textId="77777777" w:rsidR="000D4284"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3B87E10A" w14:textId="77777777" w:rsidR="000D4284" w:rsidRPr="00CD0C05"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6D11C2A" w14:textId="77777777" w:rsidR="000D4284" w:rsidRPr="000D4789" w:rsidRDefault="000D4284" w:rsidP="00A34466">
      <w:pPr>
        <w:spacing w:after="120" w:line="276" w:lineRule="auto"/>
        <w:jc w:val="both"/>
        <w:rPr>
          <w:sz w:val="20"/>
          <w:szCs w:val="20"/>
        </w:rPr>
      </w:pPr>
    </w:p>
    <w:p w14:paraId="7F3267CC"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4BC4F691" w14:textId="77777777" w:rsidR="000D4284" w:rsidRPr="00D704BE"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E340372" w14:textId="77777777" w:rsidR="000D4284" w:rsidRPr="00D90ED0"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0C752667"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w:t>
      </w:r>
      <w:r>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54EE5CF"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2C757E02"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ustawy z dnia 11 września 2019 r. Prawo zamówień publicznych (t. j. - Dz.U. 2022, poz. 1710</w:t>
      </w:r>
      <w:r w:rsidR="00A34466">
        <w:rPr>
          <w:rFonts w:eastAsia="Calibri" w:cs="Arial"/>
          <w:sz w:val="18"/>
          <w:szCs w:val="18"/>
          <w:lang w:eastAsia="en-US"/>
        </w:rPr>
        <w:t xml:space="preserve"> ze zm.</w:t>
      </w:r>
      <w:r w:rsidRPr="00492F47">
        <w:rPr>
          <w:rFonts w:eastAsia="Calibri" w:cs="Arial"/>
          <w:sz w:val="18"/>
          <w:szCs w:val="18"/>
          <w:lang w:eastAsia="en-US"/>
        </w:rPr>
        <w:t xml:space="preserve">),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lastRenderedPageBreak/>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27BBEA6A"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Dokumentacja projektowa.</w:t>
      </w:r>
    </w:p>
    <w:p w14:paraId="6F1CBD38"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SST.</w:t>
      </w:r>
    </w:p>
    <w:p w14:paraId="3C940FF2" w14:textId="220EDD3B"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Przedmiar robót.</w:t>
      </w:r>
    </w:p>
    <w:p w14:paraId="72C22229" w14:textId="77777777" w:rsidR="000D4284" w:rsidRPr="00501831" w:rsidRDefault="000D4284" w:rsidP="000D4284">
      <w:pPr>
        <w:spacing w:before="120" w:after="120" w:line="276" w:lineRule="auto"/>
        <w:rPr>
          <w:rFonts w:cs="Arial"/>
          <w:bCs/>
          <w:sz w:val="18"/>
          <w:szCs w:val="18"/>
          <w:lang w:eastAsia="en-US"/>
        </w:rPr>
      </w:pP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D2BF" w14:textId="77777777" w:rsidR="00140D6B" w:rsidRDefault="00140D6B">
      <w:r>
        <w:separator/>
      </w:r>
    </w:p>
  </w:endnote>
  <w:endnote w:type="continuationSeparator" w:id="0">
    <w:p w14:paraId="38AD45EA" w14:textId="77777777" w:rsidR="00140D6B" w:rsidRDefault="0014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80C00"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5097" w14:textId="77777777" w:rsidR="00140D6B" w:rsidRDefault="00140D6B">
      <w:r>
        <w:separator/>
      </w:r>
    </w:p>
  </w:footnote>
  <w:footnote w:type="continuationSeparator" w:id="0">
    <w:p w14:paraId="6D31E616" w14:textId="77777777" w:rsidR="00140D6B" w:rsidRDefault="0014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0F4BC"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F38" w14:textId="77777777" w:rsidR="00421241" w:rsidRDefault="00421241" w:rsidP="00421241">
    <w:pPr>
      <w:pStyle w:val="Nagwek"/>
      <w:jc w:val="center"/>
    </w:pPr>
    <w:bookmarkStart w:id="1" w:name="_Hlk118358171"/>
    <w:r>
      <w:rPr>
        <w:noProof/>
      </w:rPr>
      <w:drawing>
        <wp:anchor distT="0" distB="0" distL="114300" distR="114300" simplePos="0" relativeHeight="251666432" behindDoc="0" locked="0" layoutInCell="1" allowOverlap="1" wp14:anchorId="5A226732" wp14:editId="74DDD2CF">
          <wp:simplePos x="0" y="0"/>
          <wp:positionH relativeFrom="column">
            <wp:posOffset>4202430</wp:posOffset>
          </wp:positionH>
          <wp:positionV relativeFrom="paragraph">
            <wp:posOffset>-249555</wp:posOffset>
          </wp:positionV>
          <wp:extent cx="1961515" cy="647700"/>
          <wp:effectExtent l="0" t="0" r="635" b="0"/>
          <wp:wrapTight wrapText="bothSides">
            <wp:wrapPolygon edited="0">
              <wp:start x="0" y="0"/>
              <wp:lineTo x="0" y="20965"/>
              <wp:lineTo x="21397" y="20965"/>
              <wp:lineTo x="2139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15" cy="647700"/>
                  </a:xfrm>
                  <a:prstGeom prst="rect">
                    <a:avLst/>
                  </a:prstGeom>
                </pic:spPr>
              </pic:pic>
            </a:graphicData>
          </a:graphic>
        </wp:anchor>
      </w:drawing>
    </w:r>
    <w:r>
      <w:rPr>
        <w:noProof/>
      </w:rPr>
      <w:drawing>
        <wp:anchor distT="0" distB="0" distL="114300" distR="114300" simplePos="0" relativeHeight="251665408" behindDoc="0" locked="0" layoutInCell="1" allowOverlap="1" wp14:anchorId="7CED53BE" wp14:editId="37B2ACAA">
          <wp:simplePos x="0" y="0"/>
          <wp:positionH relativeFrom="column">
            <wp:posOffset>-447675</wp:posOffset>
          </wp:positionH>
          <wp:positionV relativeFrom="paragraph">
            <wp:posOffset>-240030</wp:posOffset>
          </wp:positionV>
          <wp:extent cx="2001520" cy="647700"/>
          <wp:effectExtent l="0" t="0" r="0" b="0"/>
          <wp:wrapTight wrapText="bothSides">
            <wp:wrapPolygon edited="0">
              <wp:start x="0" y="0"/>
              <wp:lineTo x="0" y="20965"/>
              <wp:lineTo x="21381" y="20965"/>
              <wp:lineTo x="2138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01520" cy="647700"/>
                  </a:xfrm>
                  <a:prstGeom prst="rect">
                    <a:avLst/>
                  </a:prstGeom>
                </pic:spPr>
              </pic:pic>
            </a:graphicData>
          </a:graphic>
        </wp:anchor>
      </w:drawing>
    </w:r>
  </w:p>
  <w:p w14:paraId="400DFC1F" w14:textId="77777777" w:rsidR="00421241" w:rsidRDefault="00421241" w:rsidP="00421241">
    <w:pPr>
      <w:pStyle w:val="Nagwek"/>
    </w:pPr>
  </w:p>
  <w:p w14:paraId="738E16DD" w14:textId="77777777" w:rsidR="00421241" w:rsidRDefault="00421241" w:rsidP="00421241">
    <w:pPr>
      <w:pStyle w:val="Nagwek"/>
    </w:pPr>
  </w:p>
  <w:p w14:paraId="0BAD4551" w14:textId="26AEF351" w:rsidR="00E73D1D" w:rsidRPr="008F3724" w:rsidRDefault="00421241" w:rsidP="008F3724">
    <w:pPr>
      <w:pStyle w:val="Nagwek"/>
    </w:pPr>
    <w:r>
      <w:rPr>
        <w:noProof/>
      </w:rPr>
      <mc:AlternateContent>
        <mc:Choice Requires="wps">
          <w:drawing>
            <wp:anchor distT="4294967294" distB="4294967294" distL="114300" distR="114300" simplePos="0" relativeHeight="251664384" behindDoc="0" locked="0" layoutInCell="1" allowOverlap="1" wp14:anchorId="266E10E1" wp14:editId="3DDE42F1">
              <wp:simplePos x="0" y="0"/>
              <wp:positionH relativeFrom="column">
                <wp:posOffset>-784860</wp:posOffset>
              </wp:positionH>
              <wp:positionV relativeFrom="paragraph">
                <wp:posOffset>124459</wp:posOffset>
              </wp:positionV>
              <wp:extent cx="83343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70278" id="Łącznik prosty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1.8pt,9.8pt" to="594.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" strokecolor="#4579b8 [3044]">
              <o:lock v:ext="edit" shapetype="f"/>
            </v:line>
          </w:pict>
        </mc:Fallback>
      </mc:AlternateConten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0D6B"/>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3E29"/>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21241"/>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70BD"/>
    <w:rsid w:val="004C2060"/>
    <w:rsid w:val="004C3E3B"/>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6784B"/>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01E2"/>
    <w:rsid w:val="00A22D5F"/>
    <w:rsid w:val="00A23B5B"/>
    <w:rsid w:val="00A310D8"/>
    <w:rsid w:val="00A33253"/>
    <w:rsid w:val="00A34466"/>
    <w:rsid w:val="00A3624A"/>
    <w:rsid w:val="00A40DD3"/>
    <w:rsid w:val="00A5016D"/>
    <w:rsid w:val="00A54516"/>
    <w:rsid w:val="00A6003B"/>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E75D2"/>
    <w:rsid w:val="00CF09A5"/>
    <w:rsid w:val="00CF1A4A"/>
    <w:rsid w:val="00D0361A"/>
    <w:rsid w:val="00D11D05"/>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1916"/>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6063242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4324</TotalTime>
  <Pages>23</Pages>
  <Words>10643</Words>
  <Characters>63862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355</cp:revision>
  <cp:lastPrinted>2022-01-12T11:19:00Z</cp:lastPrinted>
  <dcterms:created xsi:type="dcterms:W3CDTF">2020-01-30T07:13:00Z</dcterms:created>
  <dcterms:modified xsi:type="dcterms:W3CDTF">2023-03-20T12:46:00Z</dcterms:modified>
</cp:coreProperties>
</file>