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DD57" w14:textId="729AEFC6" w:rsidR="00573689" w:rsidRDefault="00ED2E4A">
      <w:pPr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KR-01/24/23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                              Balice, </w:t>
      </w:r>
      <w:r w:rsidRPr="00ED2E4A">
        <w:rPr>
          <w:rFonts w:asciiTheme="minorHAnsi" w:hAnsiTheme="minorHAnsi" w:cstheme="minorHAnsi"/>
          <w:lang w:eastAsia="ar-SA"/>
        </w:rPr>
        <w:t>22.</w:t>
      </w:r>
      <w:r w:rsidRPr="00ED2E4A">
        <w:rPr>
          <w:rFonts w:asciiTheme="minorHAnsi" w:hAnsiTheme="minorHAnsi" w:cstheme="minorHAnsi"/>
          <w:lang w:eastAsia="ar-SA"/>
        </w:rPr>
        <w:t>12.2023 r.</w:t>
      </w:r>
    </w:p>
    <w:p w14:paraId="2D871D29" w14:textId="77777777" w:rsidR="00573689" w:rsidRDefault="0057368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3767D78" w14:textId="77777777" w:rsidR="00573689" w:rsidRDefault="00ED2E4A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63B83AAF" w14:textId="77777777" w:rsidR="00573689" w:rsidRDefault="00ED2E4A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2DB04077" w14:textId="77777777" w:rsidR="00573689" w:rsidRDefault="0057368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DA5D67E" w14:textId="77777777" w:rsidR="00573689" w:rsidRPr="00ED2E4A" w:rsidRDefault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color w:val="000000" w:themeColor="text1"/>
          <w:lang w:eastAsia="en-US"/>
        </w:rPr>
        <w:tab/>
        <w:t xml:space="preserve">Instytut Zootechniki – Państwowy Instytut Badawczy w Krakowie, ul. </w:t>
      </w:r>
      <w:proofErr w:type="spellStart"/>
      <w:r w:rsidRPr="00ED2E4A">
        <w:rPr>
          <w:rFonts w:ascii="Calibri" w:eastAsia="Calibri" w:hAnsi="Calibri" w:cs="Calibri"/>
          <w:color w:val="000000" w:themeColor="text1"/>
          <w:lang w:eastAsia="en-US"/>
        </w:rPr>
        <w:t>Sarego</w:t>
      </w:r>
      <w:proofErr w:type="spellEnd"/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 2, Zamawiający w postępowaniu na </w:t>
      </w:r>
      <w:r w:rsidRPr="00ED2E4A">
        <w:rPr>
          <w:rFonts w:ascii="Calibri" w:hAnsi="Calibri" w:cs="Calibri"/>
          <w:b/>
          <w:color w:val="000000" w:themeColor="text1"/>
        </w:rPr>
        <w:t xml:space="preserve">„Remont rozdzielni NN </w:t>
      </w:r>
      <w:r w:rsidRPr="00ED2E4A">
        <w:rPr>
          <w:rFonts w:ascii="Calibri" w:hAnsi="Calibri" w:cs="Calibri"/>
          <w:b/>
          <w:color w:val="000000" w:themeColor="text1"/>
        </w:rPr>
        <w:t>stacji transformatorowej Aleksandrowice”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3E2281A1" w14:textId="77777777" w:rsidR="00573689" w:rsidRPr="00ED2E4A" w:rsidRDefault="00573689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4CD3DFDE" w14:textId="77777777" w:rsidR="00573689" w:rsidRPr="00ED2E4A" w:rsidRDefault="00ED2E4A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38C1C76F" w14:textId="572F78E5" w:rsidR="00573689" w:rsidRDefault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color w:val="000000" w:themeColor="text1"/>
          <w:lang w:eastAsia="en-US"/>
        </w:rPr>
        <w:t>Czy aktualne rozmieszczenie p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t>rzewodów do oświetlenia oraz gniazd ma pozostać? Czy należy uwzględnić wymianę okablowania, jeśli tak to jak mają być prowadzone przewody?</w:t>
      </w:r>
    </w:p>
    <w:p w14:paraId="533DCF65" w14:textId="77777777" w:rsidR="00ED2E4A" w:rsidRPr="00ED2E4A" w:rsidRDefault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7D0CAE49" w14:textId="77777777" w:rsidR="00573689" w:rsidRPr="00ED2E4A" w:rsidRDefault="00ED2E4A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b/>
          <w:color w:val="000000" w:themeColor="text1"/>
          <w:lang w:eastAsia="en-US"/>
        </w:rPr>
        <w:t>Odpowiedź do pytania nr 1</w:t>
      </w:r>
    </w:p>
    <w:p w14:paraId="58A6A55E" w14:textId="77777777" w:rsidR="00ED2E4A" w:rsidRPr="00ED2E4A" w:rsidRDefault="00ED2E4A" w:rsidP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Elementy do demontażu oraz rozmieszczenie nowych określono w dokumentacji projektowej (rysunek E501, E502, E503). Należy przewidzieć wymianę okablowania </w:t>
      </w:r>
    </w:p>
    <w:p w14:paraId="08A9D61E" w14:textId="32DE8769" w:rsidR="00ED2E4A" w:rsidRDefault="00ED2E4A" w:rsidP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color w:val="000000" w:themeColor="text1"/>
          <w:lang w:eastAsia="en-US"/>
        </w:rPr>
        <w:t>lub demontaż w przypadku nie używanej instalacji. Przewody należy układać pod tynkiem.</w:t>
      </w:r>
    </w:p>
    <w:p w14:paraId="1DFD8377" w14:textId="77777777" w:rsidR="00ED2E4A" w:rsidRPr="00ED2E4A" w:rsidRDefault="00ED2E4A" w:rsidP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5AEB9B4C" w14:textId="77F590E9" w:rsidR="00573689" w:rsidRDefault="00ED2E4A" w:rsidP="00A72D37">
      <w:pPr>
        <w:rPr>
          <w:rFonts w:ascii="Calibri" w:eastAsia="Calibri" w:hAnsi="Calibri" w:cs="Calibri"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b/>
          <w:bCs/>
          <w:color w:val="000000" w:themeColor="text1"/>
          <w:lang w:eastAsia="en-US"/>
        </w:rPr>
        <w:t>Pytanie nr 2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br/>
        <w:t xml:space="preserve">Jakie są dopuszczalne czasy </w:t>
      </w:r>
      <w:proofErr w:type="spellStart"/>
      <w:r w:rsidRPr="00ED2E4A">
        <w:rPr>
          <w:rFonts w:ascii="Calibri" w:eastAsia="Calibri" w:hAnsi="Calibri" w:cs="Calibri"/>
          <w:color w:val="000000" w:themeColor="text1"/>
          <w:lang w:eastAsia="en-US"/>
        </w:rPr>
        <w:t>wyłączeń</w:t>
      </w:r>
      <w:proofErr w:type="spellEnd"/>
      <w:r w:rsidRPr="00ED2E4A">
        <w:rPr>
          <w:rFonts w:ascii="Calibri" w:eastAsia="Calibri" w:hAnsi="Calibri" w:cs="Calibri"/>
          <w:color w:val="000000" w:themeColor="text1"/>
          <w:lang w:eastAsia="en-US"/>
        </w:rPr>
        <w:t>? Czy należy przewidzieć zasilanie rezerwowe?</w:t>
      </w:r>
    </w:p>
    <w:p w14:paraId="22C5263E" w14:textId="77777777" w:rsidR="00ED2E4A" w:rsidRPr="00ED2E4A" w:rsidRDefault="00ED2E4A" w:rsidP="00A72D37">
      <w:pPr>
        <w:rPr>
          <w:rFonts w:ascii="Calibri" w:eastAsia="Calibri" w:hAnsi="Calibri" w:cs="Calibri"/>
          <w:color w:val="000000" w:themeColor="text1"/>
          <w:lang w:eastAsia="en-US"/>
        </w:rPr>
      </w:pPr>
    </w:p>
    <w:p w14:paraId="1BB1ABD9" w14:textId="77777777" w:rsidR="00573689" w:rsidRPr="00ED2E4A" w:rsidRDefault="00ED2E4A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b/>
          <w:color w:val="000000" w:themeColor="text1"/>
          <w:lang w:eastAsia="en-US"/>
        </w:rPr>
        <w:t>Odpowi</w:t>
      </w:r>
      <w:r w:rsidRPr="00ED2E4A">
        <w:rPr>
          <w:rFonts w:ascii="Calibri" w:eastAsia="Calibri" w:hAnsi="Calibri" w:cs="Calibri"/>
          <w:b/>
          <w:color w:val="000000" w:themeColor="text1"/>
          <w:lang w:eastAsia="en-US"/>
        </w:rPr>
        <w:t>edź do pytania nr 2</w:t>
      </w:r>
    </w:p>
    <w:p w14:paraId="0A1A5344" w14:textId="21A9282D" w:rsidR="00573689" w:rsidRDefault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Należy przewidzieć </w:t>
      </w:r>
      <w:r w:rsidR="00A72D37"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możliwość 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t>zasilani</w:t>
      </w:r>
      <w:r w:rsidR="00A72D37" w:rsidRPr="00ED2E4A">
        <w:rPr>
          <w:rFonts w:ascii="Calibri" w:eastAsia="Calibri" w:hAnsi="Calibri" w:cs="Calibri"/>
          <w:color w:val="000000" w:themeColor="text1"/>
          <w:lang w:eastAsia="en-US"/>
        </w:rPr>
        <w:t>a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 rezerwowe</w:t>
      </w:r>
      <w:r w:rsidR="00A72D37" w:rsidRPr="00ED2E4A">
        <w:rPr>
          <w:rFonts w:ascii="Calibri" w:eastAsia="Calibri" w:hAnsi="Calibri" w:cs="Calibri"/>
          <w:color w:val="000000" w:themeColor="text1"/>
          <w:lang w:eastAsia="en-US"/>
        </w:rPr>
        <w:t>go (za pomocą istniejącego agregatu)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="00A72D37" w:rsidRPr="00ED2E4A">
        <w:rPr>
          <w:rFonts w:ascii="Calibri" w:eastAsia="Calibri" w:hAnsi="Calibri" w:cs="Calibri"/>
          <w:color w:val="000000" w:themeColor="text1"/>
          <w:lang w:eastAsia="en-US"/>
        </w:rPr>
        <w:br/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dla wybranych obiektów (laboratoria) wyposażonych w chłodnie i zamrażarki. </w:t>
      </w:r>
      <w:r w:rsidR="00A72D37"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Przerwy </w:t>
      </w:r>
      <w:r w:rsidR="00A72D37" w:rsidRPr="00ED2E4A">
        <w:rPr>
          <w:rFonts w:ascii="Calibri" w:eastAsia="Calibri" w:hAnsi="Calibri" w:cs="Calibri"/>
          <w:color w:val="000000" w:themeColor="text1"/>
          <w:lang w:eastAsia="en-US"/>
        </w:rPr>
        <w:br/>
        <w:t xml:space="preserve">w zasilaniu długości do 30 minut możliwe w godzinach 7.00-16.00, dłuższe po 16.00. Każde wyłączenie należy zgłosić Zamawiającemu i uzyskać jego zgodę. </w:t>
      </w:r>
    </w:p>
    <w:p w14:paraId="717705CF" w14:textId="77777777" w:rsidR="00ED2E4A" w:rsidRPr="00ED2E4A" w:rsidRDefault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230F16CF" w14:textId="7E26D0A1" w:rsidR="00573689" w:rsidRDefault="00ED2E4A">
      <w:pPr>
        <w:rPr>
          <w:rFonts w:ascii="Calibri" w:eastAsia="Calibri" w:hAnsi="Calibri" w:cs="Calibri"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b/>
          <w:color w:val="000000" w:themeColor="text1"/>
          <w:lang w:eastAsia="en-US"/>
        </w:rPr>
        <w:t>Pytanie nr 3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br/>
        <w:t>Ze względu na nietypowy typ okablowania (</w:t>
      </w:r>
      <w:proofErr w:type="spellStart"/>
      <w:r w:rsidRPr="00ED2E4A">
        <w:rPr>
          <w:rFonts w:ascii="Calibri" w:eastAsia="Calibri" w:hAnsi="Calibri" w:cs="Calibri"/>
          <w:color w:val="000000" w:themeColor="text1"/>
          <w:lang w:eastAsia="en-US"/>
        </w:rPr>
        <w:t>YnKXS</w:t>
      </w:r>
      <w:proofErr w:type="spellEnd"/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, </w:t>
      </w:r>
      <w:proofErr w:type="spellStart"/>
      <w:r w:rsidRPr="00ED2E4A">
        <w:rPr>
          <w:rFonts w:ascii="Calibri" w:eastAsia="Calibri" w:hAnsi="Calibri" w:cs="Calibri"/>
          <w:color w:val="000000" w:themeColor="text1"/>
          <w:lang w:eastAsia="en-US"/>
        </w:rPr>
        <w:t>YnAKY</w:t>
      </w:r>
      <w:proofErr w:type="spellEnd"/>
      <w:r w:rsidRPr="00ED2E4A">
        <w:rPr>
          <w:rFonts w:ascii="Calibri" w:eastAsia="Calibri" w:hAnsi="Calibri" w:cs="Calibri"/>
          <w:color w:val="000000" w:themeColor="text1"/>
          <w:lang w:eastAsia="en-US"/>
        </w:rPr>
        <w:t>) oraz braki na magazynach tego typu o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t>kablowania, czy Inwestor dopuszcza zastosowanie równoważnego rozwiązania? Proponujemy okablowanie typu N2XH.</w:t>
      </w:r>
    </w:p>
    <w:p w14:paraId="321EA933" w14:textId="77777777" w:rsidR="00ED2E4A" w:rsidRPr="00ED2E4A" w:rsidRDefault="00ED2E4A">
      <w:pPr>
        <w:rPr>
          <w:rFonts w:ascii="Calibri" w:eastAsia="Calibri" w:hAnsi="Calibri" w:cs="Calibri"/>
          <w:color w:val="000000" w:themeColor="text1"/>
          <w:lang w:eastAsia="en-US"/>
        </w:rPr>
      </w:pPr>
    </w:p>
    <w:p w14:paraId="14EABD32" w14:textId="77777777" w:rsidR="00573689" w:rsidRPr="00ED2E4A" w:rsidRDefault="00ED2E4A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b/>
          <w:color w:val="000000" w:themeColor="text1"/>
          <w:lang w:eastAsia="en-US"/>
        </w:rPr>
        <w:t>Odpowiedź do pytania nr 3</w:t>
      </w:r>
    </w:p>
    <w:p w14:paraId="0C68F146" w14:textId="5D4DD4FB" w:rsidR="00573689" w:rsidRDefault="00A72D37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color w:val="000000" w:themeColor="text1"/>
          <w:lang w:eastAsia="en-US"/>
        </w:rPr>
        <w:t>Zamawiający dopuszcza zastosowanie kabli N2XH.</w:t>
      </w:r>
    </w:p>
    <w:p w14:paraId="0DF077A7" w14:textId="77777777" w:rsidR="00ED2E4A" w:rsidRPr="00ED2E4A" w:rsidRDefault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6900369E" w14:textId="77AE0FC6" w:rsidR="00573689" w:rsidRPr="00ED2E4A" w:rsidRDefault="00ED2E4A" w:rsidP="00A72D37">
      <w:pPr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b/>
          <w:color w:val="000000" w:themeColor="text1"/>
          <w:lang w:eastAsia="en-US"/>
        </w:rPr>
        <w:t>Pytanie nr 4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br/>
        <w:t>Jakie działania należy podjąć w przypadku zaplombowanych licz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t>ników przy Rozdzielni Głównej Niskiego Napięcia (RGNN) oraz liczników umieszczonych w pomieszczeniu agregatu?</w:t>
      </w:r>
    </w:p>
    <w:p w14:paraId="5791F581" w14:textId="77777777" w:rsidR="00ED2E4A" w:rsidRDefault="00ED2E4A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0CA24CFF" w14:textId="77777777" w:rsidR="00ED2E4A" w:rsidRDefault="00ED2E4A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483C3E0A" w14:textId="15843999" w:rsidR="00573689" w:rsidRPr="00ED2E4A" w:rsidRDefault="00ED2E4A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b/>
          <w:color w:val="000000" w:themeColor="text1"/>
          <w:lang w:eastAsia="en-US"/>
        </w:rPr>
        <w:lastRenderedPageBreak/>
        <w:t>Odpowiedź do pytania nr 4</w:t>
      </w:r>
    </w:p>
    <w:p w14:paraId="4A24DC06" w14:textId="77777777" w:rsidR="00573689" w:rsidRPr="00ED2E4A" w:rsidRDefault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W przypadku pomiaru rozliczeniowego z TAURON należy przewidzieć możliwość </w:t>
      </w:r>
      <w:proofErr w:type="spellStart"/>
      <w:r w:rsidRPr="00ED2E4A">
        <w:rPr>
          <w:rFonts w:ascii="Calibri" w:eastAsia="Calibri" w:hAnsi="Calibri" w:cs="Calibri"/>
          <w:color w:val="000000" w:themeColor="text1"/>
          <w:lang w:eastAsia="en-US"/>
        </w:rPr>
        <w:t>rozplombowania</w:t>
      </w:r>
      <w:proofErr w:type="spellEnd"/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 układu pomiarowego i ponowne je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go zaplombowanie pod nadzorem TAURON. W przypadku </w:t>
      </w:r>
      <w:proofErr w:type="spellStart"/>
      <w:r w:rsidRPr="00ED2E4A">
        <w:rPr>
          <w:rFonts w:ascii="Calibri" w:eastAsia="Calibri" w:hAnsi="Calibri" w:cs="Calibri"/>
          <w:color w:val="000000" w:themeColor="text1"/>
          <w:lang w:eastAsia="en-US"/>
        </w:rPr>
        <w:t>subliczników</w:t>
      </w:r>
      <w:proofErr w:type="spellEnd"/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 nie jest wymagane zgłoszenie do TAURON.</w:t>
      </w:r>
    </w:p>
    <w:p w14:paraId="0319BC95" w14:textId="77777777" w:rsidR="00573689" w:rsidRPr="00ED2E4A" w:rsidRDefault="00ED2E4A">
      <w:pPr>
        <w:spacing w:line="259" w:lineRule="auto"/>
        <w:jc w:val="both"/>
        <w:rPr>
          <w:rFonts w:asciiTheme="minorHAnsi" w:eastAsia="Calibri" w:hAnsiTheme="minorHAnsi" w:cstheme="minorHAnsi"/>
          <w:color w:val="000000" w:themeColor="text1"/>
          <w:kern w:val="2"/>
        </w:rPr>
      </w:pPr>
      <w:r w:rsidRPr="00ED2E4A">
        <w:rPr>
          <w:rFonts w:asciiTheme="minorHAnsi" w:eastAsia="Calibri" w:hAnsiTheme="minorHAnsi" w:cstheme="minorHAnsi"/>
          <w:color w:val="000000" w:themeColor="text1"/>
          <w:kern w:val="2"/>
        </w:rPr>
        <w:t xml:space="preserve"> </w:t>
      </w:r>
    </w:p>
    <w:p w14:paraId="0D6450E9" w14:textId="77777777" w:rsidR="00573689" w:rsidRPr="00ED2E4A" w:rsidRDefault="00573689">
      <w:pPr>
        <w:rPr>
          <w:rFonts w:asciiTheme="minorHAnsi" w:hAnsiTheme="minorHAnsi" w:cstheme="minorHAnsi"/>
          <w:b/>
          <w:iCs/>
          <w:color w:val="000000" w:themeColor="text1"/>
          <w:lang w:eastAsia="x-none"/>
        </w:rPr>
      </w:pPr>
    </w:p>
    <w:p w14:paraId="5C80B7A3" w14:textId="77777777" w:rsidR="00573689" w:rsidRPr="00ED2E4A" w:rsidRDefault="00ED2E4A">
      <w:pPr>
        <w:ind w:left="6096"/>
        <w:jc w:val="center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D2E4A">
        <w:rPr>
          <w:rFonts w:asciiTheme="minorHAnsi" w:hAnsiTheme="minorHAnsi" w:cstheme="minorHAnsi"/>
          <w:b/>
          <w:iCs/>
          <w:color w:val="000000" w:themeColor="text1"/>
          <w:lang w:eastAsia="x-none"/>
        </w:rPr>
        <w:t>Mariusz Cichecki</w:t>
      </w:r>
      <w:r w:rsidRPr="00ED2E4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      …………………………</w:t>
      </w:r>
    </w:p>
    <w:p w14:paraId="5111D383" w14:textId="77777777" w:rsidR="00573689" w:rsidRDefault="00ED2E4A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>
        <w:rPr>
          <w:rFonts w:asciiTheme="minorHAnsi" w:hAnsiTheme="minorHAnsi" w:cstheme="minorHAnsi"/>
          <w:sz w:val="18"/>
          <w:szCs w:val="18"/>
          <w:lang w:eastAsia="x-none"/>
        </w:rPr>
        <w:t xml:space="preserve"> przez    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  <w:lang w:eastAsia="x-none"/>
        </w:rPr>
        <w:t>Dyrektora IZ-PIB</w:t>
      </w:r>
    </w:p>
    <w:sectPr w:rsidR="00573689">
      <w:headerReference w:type="first" r:id="rId7"/>
      <w:footerReference w:type="first" r:id="rId8"/>
      <w:pgSz w:w="11906" w:h="16838"/>
      <w:pgMar w:top="1417" w:right="1417" w:bottom="1417" w:left="1417" w:header="164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085C" w14:textId="77777777" w:rsidR="00972F29" w:rsidRDefault="00972F29">
      <w:r>
        <w:separator/>
      </w:r>
    </w:p>
  </w:endnote>
  <w:endnote w:type="continuationSeparator" w:id="0">
    <w:p w14:paraId="73239B28" w14:textId="77777777" w:rsidR="00972F29" w:rsidRDefault="009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5645" w14:textId="77777777" w:rsidR="00573689" w:rsidRDefault="00ED2E4A"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2F135CE0" wp14:editId="14DEC54F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130" cy="0"/>
              <wp:effectExtent l="6350" t="6985" r="6350" b="6985"/>
              <wp:wrapNone/>
              <wp:docPr id="5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shape_0" from="56.7pt,751.3pt" to="538.55pt,751.3pt" ID="Łącznik prosty 8" stroked="t" o:allowincell="f" style="position:absolute;mso-position-horizontal:center;mso-position-horizontal-relative:page;mso-position-vertical-relative:page" wp14:anchorId="4DE089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  <w:tbl>
    <w:tblPr>
      <w:tblStyle w:val="Tabela-Siatka"/>
      <w:tblW w:w="11340" w:type="dxa"/>
      <w:jc w:val="center"/>
      <w:tblLayout w:type="fixed"/>
      <w:tblLook w:val="04A0" w:firstRow="1" w:lastRow="0" w:firstColumn="1" w:lastColumn="0" w:noHBand="0" w:noVBand="1"/>
    </w:tblPr>
    <w:tblGrid>
      <w:gridCol w:w="5671"/>
      <w:gridCol w:w="5669"/>
    </w:tblGrid>
    <w:tr w:rsidR="00573689" w14:paraId="034F4AD7" w14:textId="77777777">
      <w:trPr>
        <w:trHeight w:val="881"/>
        <w:jc w:val="center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14:paraId="469479D8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49133912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01814D12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 xml:space="preserve">tel.: +48 </w:t>
          </w:r>
          <w:r>
            <w:rPr>
              <w:rFonts w:ascii="Arial" w:hAnsi="Arial" w:cs="Arial"/>
              <w:color w:val="000000"/>
              <w:sz w:val="16"/>
              <w:szCs w:val="18"/>
            </w:rPr>
            <w:t>12 357 27 00, +48 666 081 111</w:t>
          </w:r>
        </w:p>
        <w:p w14:paraId="587663BC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www.iz.edu.pl</w:t>
          </w:r>
        </w:p>
        <w:p w14:paraId="50DD05FA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>
            <w:rPr>
              <w:rFonts w:ascii="Arial" w:hAnsi="Arial" w:cs="Arial"/>
              <w:color w:val="000000"/>
              <w:sz w:val="16"/>
              <w:szCs w:val="18"/>
              <w:lang w:val="en-GB"/>
            </w:rPr>
            <w:t>e-mail: sekretariat@iz.edu.pl</w:t>
          </w:r>
        </w:p>
      </w:tc>
      <w:tc>
        <w:tcPr>
          <w:tcW w:w="5669" w:type="dxa"/>
          <w:tcBorders>
            <w:top w:val="nil"/>
            <w:left w:val="nil"/>
            <w:bottom w:val="nil"/>
            <w:right w:val="nil"/>
          </w:tcBorders>
        </w:tcPr>
        <w:p w14:paraId="4A3B3597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5C83BFAA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455CC67B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tel.: +48 12 357 27 00, +48 666 081 111</w:t>
          </w:r>
        </w:p>
        <w:p w14:paraId="133741D7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KRS: 0000125481</w:t>
          </w:r>
        </w:p>
        <w:p w14:paraId="49E590D3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NIP: 675-000-21-30</w:t>
          </w:r>
        </w:p>
        <w:p w14:paraId="06F1BF94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REGON: 000079728</w:t>
          </w:r>
        </w:p>
      </w:tc>
    </w:tr>
  </w:tbl>
  <w:p w14:paraId="13F6C4D1" w14:textId="77777777" w:rsidR="00573689" w:rsidRDefault="00573689">
    <w:pPr>
      <w:pStyle w:val="wysrodkuj"/>
      <w:tabs>
        <w:tab w:val="left" w:pos="900"/>
        <w:tab w:val="left" w:pos="5954"/>
      </w:tabs>
      <w:spacing w:beforeAutospacing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860F" w14:textId="77777777" w:rsidR="00972F29" w:rsidRDefault="00972F29">
      <w:r>
        <w:separator/>
      </w:r>
    </w:p>
  </w:footnote>
  <w:footnote w:type="continuationSeparator" w:id="0">
    <w:p w14:paraId="31613F1E" w14:textId="77777777" w:rsidR="00972F29" w:rsidRDefault="0097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2F02" w14:textId="77777777" w:rsidR="00573689" w:rsidRDefault="00ED2E4A">
    <w:pPr>
      <w:rPr>
        <w:lang w:val="en-GB"/>
      </w:rPr>
    </w:pPr>
    <w:r>
      <w:rPr>
        <w:noProof/>
        <w:lang w:val="en-GB"/>
      </w:rPr>
      <w:drawing>
        <wp:anchor distT="0" distB="0" distL="0" distR="0" simplePos="0" relativeHeight="2" behindDoc="1" locked="0" layoutInCell="0" allowOverlap="1" wp14:anchorId="79FC7828" wp14:editId="659A8679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s">
          <w:drawing>
            <wp:anchor distT="0" distB="0" distL="0" distR="0" simplePos="0" relativeHeight="4" behindDoc="1" locked="0" layoutInCell="0" allowOverlap="1" wp14:anchorId="7425B82E" wp14:editId="6617AFF3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830580"/>
              <wp:effectExtent l="0" t="0" r="63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4840" cy="83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442990" w14:textId="77777777" w:rsidR="00573689" w:rsidRDefault="00ED2E4A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>
                            <w:rPr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6EFB4630" w14:textId="77777777" w:rsidR="00573689" w:rsidRDefault="00ED2E4A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7"/>
                            </w:rPr>
                            <w:t>PAŃSTWOWY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7"/>
                            </w:rPr>
                            <w:t>INSTYTUT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38C08737" w14:textId="77777777" w:rsidR="00573689" w:rsidRDefault="00ED2E4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7425B82E" id="Pole tekstowe 2" o:spid="_x0000_s1026" style="position:absolute;margin-left:163.5pt;margin-top:39pt;width:370.45pt;height:65.4pt;z-index:-503316476;visibility:visible;mso-wrap-style:square;mso-height-percent:200;mso-wrap-distance-left:0;mso-wrap-distance-top:0;mso-wrap-distance-right:0;mso-wrap-distance-bottom:0;mso-position-horizontal:absolute;mso-position-horizontal-relative:page;mso-position-vertical:absolute;mso-position-vertical-relative:page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" o:allowincell="f" stroked="f">
              <v:textbox style="mso-fit-shape-to-text:t">
                <w:txbxContent>
                  <w:p w14:paraId="41442990" w14:textId="77777777" w:rsidR="00573689" w:rsidRDefault="00ED2E4A">
                    <w:pPr>
                      <w:pStyle w:val="Nagwek5"/>
                      <w:rPr>
                        <w:sz w:val="36"/>
                      </w:rPr>
                    </w:pPr>
                    <w:r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>
                      <w:rPr>
                        <w:sz w:val="36"/>
                      </w:rPr>
                      <w:t xml:space="preserve"> </w:t>
                    </w:r>
                    <w:r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6EFB4630" w14:textId="77777777" w:rsidR="00573689" w:rsidRDefault="00ED2E4A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7"/>
                      </w:rPr>
                      <w:t>PAŃSTWOWY</w:t>
                    </w:r>
                    <w:r>
                      <w:rPr>
                        <w:b/>
                        <w:sz w:val="36"/>
                      </w:rPr>
                      <w:t xml:space="preserve">  </w:t>
                    </w:r>
                    <w:r>
                      <w:rPr>
                        <w:b/>
                        <w:sz w:val="37"/>
                      </w:rPr>
                      <w:t>INSTYTUT</w:t>
                    </w:r>
                    <w:r>
                      <w:rPr>
                        <w:b/>
                        <w:sz w:val="36"/>
                      </w:rPr>
                      <w:t xml:space="preserve">  </w:t>
                    </w:r>
                    <w:r>
                      <w:rPr>
                        <w:b/>
                        <w:sz w:val="37"/>
                      </w:rPr>
                      <w:t>BADAWCZY</w:t>
                    </w:r>
                  </w:p>
                  <w:p w14:paraId="38C08737" w14:textId="77777777" w:rsidR="00573689" w:rsidRDefault="00ED2E4A">
                    <w:pPr>
                      <w:pStyle w:val="Zawartoramki"/>
                      <w:jc w:val="center"/>
                    </w:pPr>
                    <w:r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3B74C72" w14:textId="77777777" w:rsidR="00573689" w:rsidRDefault="00ED2E4A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28575" distL="0" distR="33655" simplePos="0" relativeHeight="6" behindDoc="1" locked="0" layoutInCell="0" allowOverlap="1" wp14:anchorId="35C5E534" wp14:editId="03F6D343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9525" t="9525" r="9525" b="6350"/>
              <wp:wrapNone/>
              <wp:docPr id="4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640" cy="47520"/>
                        <a:chOff x="0" y="0"/>
                        <a:chExt cx="6119640" cy="47520"/>
                      </a:xfrm>
                    </wpg:grpSpPr>
                    <wps:wsp>
                      <wps:cNvPr id="1839863475" name="Łącznik prosty 1839863475"/>
                      <wps:cNvCnPr/>
                      <wps:spPr>
                        <a:xfrm>
                          <a:off x="0" y="0"/>
                          <a:ext cx="6119640" cy="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2428795" name="Łącznik prosty 92428795"/>
                      <wps:cNvCnPr/>
                      <wps:spPr>
                        <a:xfrm>
                          <a:off x="0" y="47160"/>
                          <a:ext cx="61196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shape_0" alt="Grupa 5" style="position:absolute;margin-left:-13.9pt;margin-top:17.25pt;width:481.8pt;height:3.7pt" coordorigin="-278,345" coordsize="9636,74">
              <v:line id="shape_0" from="-278,345" to="9358,345" ID="Line 7" stroked="t" o:allowincell="f" style="position:absolute">
                <v:stroke color="black" weight="19080" joinstyle="round" endcap="flat"/>
                <v:fill o:detectmouseclick="t" on="false"/>
                <w10:wrap type="none"/>
              </v:line>
              <v:line id="shape_0" from="-278,420" to="9358,420" ID="Line 7" stroked="t" o:allowincell="f" style="position:absolute">
                <v:stroke color="black" weight="12600" joinstyle="round" endcap="flat"/>
                <v:fill o:detectmouseclick="t" on="false"/>
                <w10:wrap type="none"/>
              </v:line>
            </v:group>
          </w:pict>
        </mc:Fallback>
      </mc:AlternateContent>
    </w:r>
    <w:bookmarkStart w:id="1" w:name="_Hlk93401566"/>
    <w:bookmarkEnd w:id="1"/>
  </w:p>
  <w:p w14:paraId="59FCA0C2" w14:textId="77777777" w:rsidR="00573689" w:rsidRDefault="005736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89"/>
    <w:rsid w:val="000C3F55"/>
    <w:rsid w:val="002F2F03"/>
    <w:rsid w:val="00323EC2"/>
    <w:rsid w:val="00573689"/>
    <w:rsid w:val="00972F29"/>
    <w:rsid w:val="00A72D37"/>
    <w:rsid w:val="00B7264E"/>
    <w:rsid w:val="00C939C9"/>
    <w:rsid w:val="00E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D93"/>
  <w15:docId w15:val="{61F03E14-C150-4D17-8555-3BD50D1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4E9F"/>
  </w:style>
  <w:style w:type="character" w:customStyle="1" w:styleId="StopkaZnak">
    <w:name w:val="Stopka Znak"/>
    <w:basedOn w:val="Domylnaczcionkaakapitu"/>
    <w:link w:val="Stopka"/>
    <w:uiPriority w:val="99"/>
    <w:qFormat/>
    <w:rsid w:val="00D64E9F"/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qFormat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D543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paragraph" w:customStyle="1" w:styleId="wysrodkuj">
    <w:name w:val="wysrodkuj"/>
    <w:basedOn w:val="Normalny"/>
    <w:qFormat/>
    <w:rsid w:val="00D64E9F"/>
    <w:pPr>
      <w:spacing w:beforeAutospacing="1" w:afterAutospacing="1"/>
      <w:ind w:left="240" w:firstLine="12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5F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C7590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3A4712"/>
    <w:pPr>
      <w:spacing w:beforeAutospacing="1" w:afterAutospacing="1"/>
    </w:pPr>
  </w:style>
  <w:style w:type="paragraph" w:customStyle="1" w:styleId="Default">
    <w:name w:val="Default"/>
    <w:qFormat/>
    <w:rsid w:val="003D5B82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CC4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6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61D2-9006-4D4C-B6EE-51B53F81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dc:description/>
  <cp:lastModifiedBy>Jakub Prokop</cp:lastModifiedBy>
  <cp:revision>17</cp:revision>
  <cp:lastPrinted>2023-12-22T08:49:00Z</cp:lastPrinted>
  <dcterms:created xsi:type="dcterms:W3CDTF">2023-12-19T07:28:00Z</dcterms:created>
  <dcterms:modified xsi:type="dcterms:W3CDTF">2023-12-22T08:51:00Z</dcterms:modified>
  <dc:language>pl-PL</dc:language>
</cp:coreProperties>
</file>