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13" w:rsidRDefault="009D6E13" w:rsidP="009D6E13">
      <w:r>
        <w:t xml:space="preserve">Załącznik nr </w:t>
      </w:r>
      <w:r w:rsidR="00AE3C0A">
        <w:t>9</w:t>
      </w:r>
      <w:bookmarkStart w:id="0" w:name="_GoBack"/>
      <w:bookmarkEnd w:id="0"/>
      <w:r>
        <w:t xml:space="preserve">  -  CYBERBEZPIECZEŃSTWO</w:t>
      </w:r>
    </w:p>
    <w:p w:rsidR="009D6E13" w:rsidRDefault="009D6E13" w:rsidP="009D6E13">
      <w:pPr>
        <w:ind w:left="284" w:hanging="284"/>
      </w:pPr>
      <w:r>
        <w:t>1.</w:t>
      </w:r>
      <w:r>
        <w:tab/>
        <w:t xml:space="preserve">Oprogramowanie musi realizować wszystkie swoje funkcje przy włączonym oprogramowaniu antywirusowym i przy włączonej zaporze Windows wykorzystywanej przez </w:t>
      </w:r>
      <w:r w:rsidR="00453CD3">
        <w:t>Zamawiającego, a </w:t>
      </w:r>
      <w:r>
        <w:t>także przy włączonych mechanizmach bezpieczeństwa wbudowanych w system operacyjny serwera. Niedopuszczalne jest wyłączanie jakiejkolwiek z powyższych funkcji.</w:t>
      </w:r>
    </w:p>
    <w:p w:rsidR="009D6E13" w:rsidRDefault="009D6E13" w:rsidP="009D6E13">
      <w:pPr>
        <w:ind w:left="284" w:hanging="284"/>
      </w:pPr>
      <w:r>
        <w:t>2.</w:t>
      </w:r>
      <w:r>
        <w:tab/>
        <w:t>Oprogramowanie musi dopuszczać tylko niezbędny ruch do prawidłowego funkcjonowania oprogramowania (</w:t>
      </w:r>
      <w:proofErr w:type="spellStart"/>
      <w:r>
        <w:t>hardening</w:t>
      </w:r>
      <w:proofErr w:type="spellEnd"/>
      <w:r>
        <w:t>)</w:t>
      </w:r>
    </w:p>
    <w:p w:rsidR="009D6E13" w:rsidRDefault="009D6E13" w:rsidP="009D6E13">
      <w:pPr>
        <w:ind w:left="284" w:hanging="284"/>
      </w:pPr>
      <w:r>
        <w:t>3.</w:t>
      </w:r>
      <w:r>
        <w:tab/>
        <w:t>Oprogramowanie musi realizować wszystkie swoje funkcje przy włączonym oprogramowaniu realizującym wykrywanie i reagowanie na incydenty cyberbezpieczeństwa w punktach końcowych (EDR)</w:t>
      </w:r>
    </w:p>
    <w:p w:rsidR="009D6E13" w:rsidRDefault="009D6E13" w:rsidP="009D6E13">
      <w:pPr>
        <w:ind w:left="284" w:hanging="284"/>
      </w:pPr>
      <w:r>
        <w:t>4.</w:t>
      </w:r>
      <w:r>
        <w:tab/>
      </w:r>
      <w:r w:rsidR="00453CD3">
        <w:t xml:space="preserve">Wykonawca </w:t>
      </w:r>
      <w:r>
        <w:t>dostarczy pełną dokumentację w zakresie adresów i portów sieciowych, z którymi komunikował</w:t>
      </w:r>
      <w:r w:rsidR="002B16D9">
        <w:t>o</w:t>
      </w:r>
      <w:r>
        <w:t xml:space="preserve"> się będzie  Oprogramowanie albo będą niezbędne do jego poprawnej pracy.</w:t>
      </w:r>
    </w:p>
    <w:p w:rsidR="009D6E13" w:rsidRDefault="009D6E13" w:rsidP="009D6E13">
      <w:pPr>
        <w:ind w:left="284" w:hanging="284"/>
      </w:pPr>
      <w:r>
        <w:t>5.</w:t>
      </w:r>
      <w:r>
        <w:tab/>
      </w:r>
      <w:r w:rsidR="00453CD3">
        <w:t xml:space="preserve">Wykonawca </w:t>
      </w:r>
      <w:r>
        <w:t>dostarczy pełną specyfikację komunikacji z systemami zewnętrznymi, tj.  minimum adresy z którymi ma nastąpić połącznie, nazwy protokołu / numer portu, zakres przesyłanych danych.</w:t>
      </w:r>
    </w:p>
    <w:p w:rsidR="009D6E13" w:rsidRDefault="009D6E13" w:rsidP="009D6E13">
      <w:pPr>
        <w:ind w:left="284" w:hanging="284"/>
      </w:pPr>
      <w:r>
        <w:t>6.</w:t>
      </w:r>
      <w:r>
        <w:tab/>
        <w:t xml:space="preserve">W przypadku stwierdzenia podatności, zagrożenia bezpieczeństwa cybernetycznego czy incydentu dotyczącego oprogramowania, do którego  </w:t>
      </w:r>
      <w:r w:rsidR="00453CD3">
        <w:t xml:space="preserve">Wykonawca </w:t>
      </w:r>
      <w:r>
        <w:t xml:space="preserve">posiada prawa autorskie,  </w:t>
      </w:r>
      <w:r w:rsidR="00453CD3">
        <w:t xml:space="preserve">Wykonawca </w:t>
      </w:r>
      <w:r>
        <w:t xml:space="preserve">niezwłocznie usunie stwierdzone zdarzenie na własny koszt, zabezpieczając na czas usuwania usterki analogiczne oprogramowanie pozbawione tej podatności. Jeżeli  </w:t>
      </w:r>
      <w:r w:rsidR="00453CD3">
        <w:t xml:space="preserve">Wykonawca </w:t>
      </w:r>
      <w:r>
        <w:t xml:space="preserve">wykorzystuje oprogramowanie firm trzecich jako komponent czy narzędzie systemów własnych, to odpowiedzialność z tytułu podatności na zagrożenia cybernetyczne dotyczy również i tego oprogramowania. </w:t>
      </w:r>
    </w:p>
    <w:p w:rsidR="009D6E13" w:rsidRDefault="009D6E13" w:rsidP="009D6E13">
      <w:pPr>
        <w:ind w:left="284" w:hanging="284"/>
      </w:pPr>
      <w:r>
        <w:t>7.</w:t>
      </w:r>
      <w:r>
        <w:tab/>
        <w:t xml:space="preserve">Oprogramowanie nie może wykorzystywać oprogramowania firm trzecich wobec produktów których stwierdzono występowanie podatności lub wydany został komunikat bezpieczeństwa cybernetycznego o zagrożeniu. W takim przypadku  </w:t>
      </w:r>
      <w:r w:rsidR="00453CD3">
        <w:t xml:space="preserve">Wykonawca </w:t>
      </w:r>
      <w:r>
        <w:t xml:space="preserve">niezwłocznie dokona usunięcia stwierdzonej podatności oprogramowania, ewentualnie zastosuje rozwiązanie zastępcze nieposiadające podatności. </w:t>
      </w:r>
    </w:p>
    <w:p w:rsidR="009D6E13" w:rsidRDefault="009D6E13" w:rsidP="009D6E13">
      <w:pPr>
        <w:ind w:left="284" w:hanging="284"/>
      </w:pPr>
      <w:r>
        <w:t>8.</w:t>
      </w:r>
      <w:r>
        <w:tab/>
      </w:r>
      <w:r w:rsidR="00453CD3">
        <w:t xml:space="preserve">Wykonawca </w:t>
      </w:r>
      <w:r>
        <w:t xml:space="preserve">wyraża zgodę na instalację na serwerze oprogramowania (typu Agent) posiadanego przez zamawiającego systemu do monitorowania podatności o nazwie </w:t>
      </w:r>
      <w:proofErr w:type="spellStart"/>
      <w:r>
        <w:t>Endpoint</w:t>
      </w:r>
      <w:proofErr w:type="spellEnd"/>
      <w:r>
        <w:t xml:space="preserve"> Central firmy </w:t>
      </w:r>
      <w:proofErr w:type="spellStart"/>
      <w:r>
        <w:t>ManageEngine</w:t>
      </w:r>
      <w:proofErr w:type="spellEnd"/>
    </w:p>
    <w:p w:rsidR="009D6E13" w:rsidRDefault="009D6E13" w:rsidP="009D6E13">
      <w:pPr>
        <w:ind w:left="284" w:hanging="284"/>
      </w:pPr>
      <w:r>
        <w:t>9.</w:t>
      </w:r>
      <w:r>
        <w:tab/>
        <w:t xml:space="preserve">Oprogramowanie monitoruje zdarzenia i zapisuje je w dzienniku zdarzeń (logu). </w:t>
      </w:r>
    </w:p>
    <w:p w:rsidR="00D45833" w:rsidRDefault="00D45833"/>
    <w:sectPr w:rsidR="00D45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E13"/>
    <w:rsid w:val="002B16D9"/>
    <w:rsid w:val="00453CD3"/>
    <w:rsid w:val="009D6E13"/>
    <w:rsid w:val="00AE3C0A"/>
    <w:rsid w:val="00D4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16E5"/>
  <w15:chartTrackingRefBased/>
  <w15:docId w15:val="{3405B71A-859A-4AA1-B311-EB58E381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1920</Characters>
  <Application>Microsoft Office Word</Application>
  <DocSecurity>0</DocSecurity>
  <Lines>16</Lines>
  <Paragraphs>4</Paragraphs>
  <ScaleCrop>false</ScaleCrop>
  <Company>4 Wojskowy Szpital Kliniczny z Poliklinką SPZOZ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Mirosław Sęk</cp:lastModifiedBy>
  <cp:revision>4</cp:revision>
  <dcterms:created xsi:type="dcterms:W3CDTF">2024-09-30T11:44:00Z</dcterms:created>
  <dcterms:modified xsi:type="dcterms:W3CDTF">2024-11-28T13:18:00Z</dcterms:modified>
</cp:coreProperties>
</file>