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27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92079A" w:rsidRPr="00E054BA" w14:paraId="61485C67" w14:textId="77777777" w:rsidTr="0092079A">
        <w:trPr>
          <w:trHeight w:val="256"/>
        </w:trPr>
        <w:tc>
          <w:tcPr>
            <w:tcW w:w="9733" w:type="dxa"/>
            <w:shd w:val="clear" w:color="auto" w:fill="E3E8ED"/>
          </w:tcPr>
          <w:p w14:paraId="455608A2" w14:textId="77777777" w:rsidR="0092079A" w:rsidRPr="00E054BA" w:rsidRDefault="0092079A" w:rsidP="001D77E0">
            <w:pPr>
              <w:widowControl w:val="0"/>
              <w:spacing w:before="12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1095F9B5" w14:textId="77777777" w:rsidR="0092079A" w:rsidRPr="00E054BA" w:rsidRDefault="0092079A" w:rsidP="00E836CA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649959D6" w14:textId="77777777" w:rsidR="0092079A" w:rsidRPr="00E054BA" w:rsidRDefault="0092079A" w:rsidP="00E836CA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6A1852B6" w14:textId="3DE9CC94" w:rsidR="0092079A" w:rsidRPr="00E054BA" w:rsidRDefault="0092079A" w:rsidP="00E836CA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7D40CC" w:rsidRPr="007D40C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switch</w:t>
            </w:r>
            <w:r w:rsidR="0088397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</w:t>
            </w:r>
            <w:r w:rsidR="007D40CC" w:rsidRPr="007D40C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i router</w:t>
            </w:r>
            <w:r w:rsidR="0088397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22A0681" w14:textId="2E0BFD00" w:rsidR="0092079A" w:rsidRPr="000B7668" w:rsidRDefault="0092079A" w:rsidP="00E836CA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D111C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76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</w:tc>
      </w:tr>
    </w:tbl>
    <w:p w14:paraId="24675535" w14:textId="77777777" w:rsidR="0092079A" w:rsidRPr="00E71C6D" w:rsidRDefault="0092079A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1EDB3FFC" w14:textId="4BC065CD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020FAA3F" w14:textId="77777777" w:rsidR="00ED2852" w:rsidRDefault="00ED2852" w:rsidP="00ED2852">
      <w:pPr>
        <w:spacing w:before="720" w:line="240" w:lineRule="auto"/>
        <w:ind w:left="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2CECFA6A" w14:textId="12744124" w:rsidR="00ED2852" w:rsidRDefault="00ED2852" w:rsidP="0036643A">
      <w:pPr>
        <w:spacing w:after="360" w:line="240" w:lineRule="auto"/>
        <w:ind w:left="0" w:right="-1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69EDD2E" w14:textId="77777777" w:rsidR="0036643A" w:rsidRPr="00A10DD7" w:rsidRDefault="0036643A" w:rsidP="0036643A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6797E827" w14:textId="77777777" w:rsidR="0036643A" w:rsidRPr="00A10DD7" w:rsidRDefault="0036643A" w:rsidP="0036643A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>Z-ca Kanclerza ds. Inwestycji</w:t>
      </w:r>
    </w:p>
    <w:p w14:paraId="49B21415" w14:textId="77777777" w:rsidR="0036643A" w:rsidRPr="00A10DD7" w:rsidRDefault="0036643A" w:rsidP="0036643A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71BF4C4A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41028D59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763DF540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2932AF45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36E0224B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71A89DAC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14A89360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55EC16C7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7B3CF174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0495F5D4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1542BFE5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712C468C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444BBCE4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433AE01D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115B4466" w14:textId="77777777" w:rsidR="0036643A" w:rsidRDefault="0036643A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4FB94364" w:rsidR="00F85C46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7A0325">
        <w:rPr>
          <w:rFonts w:eastAsia="Calibri" w:cs="Arial"/>
          <w:szCs w:val="20"/>
          <w:lang w:eastAsia="pl-PL"/>
        </w:rPr>
        <w:t xml:space="preserve">sierpień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31069B69" w14:textId="6584CBE1" w:rsidR="00D111C5" w:rsidRDefault="00D111C5" w:rsidP="004C1290">
      <w:pPr>
        <w:jc w:val="center"/>
        <w:rPr>
          <w:rFonts w:eastAsia="Calibri" w:cs="Arial"/>
          <w:szCs w:val="20"/>
          <w:lang w:eastAsia="pl-PL"/>
        </w:rPr>
      </w:pPr>
    </w:p>
    <w:p w14:paraId="328E748B" w14:textId="1E19D15D" w:rsidR="00D111C5" w:rsidRDefault="00D111C5" w:rsidP="004C1290">
      <w:pPr>
        <w:jc w:val="center"/>
        <w:rPr>
          <w:rFonts w:eastAsia="Calibri" w:cs="Arial"/>
          <w:szCs w:val="20"/>
          <w:lang w:eastAsia="pl-PL"/>
        </w:rPr>
      </w:pPr>
    </w:p>
    <w:p w14:paraId="5F81A098" w14:textId="77777777" w:rsidR="00D111C5" w:rsidRPr="00ED1083" w:rsidRDefault="00D111C5" w:rsidP="004C1290">
      <w:pPr>
        <w:jc w:val="center"/>
        <w:rPr>
          <w:rFonts w:eastAsia="Calibri" w:cs="Arial"/>
          <w:szCs w:val="20"/>
          <w:lang w:eastAsia="pl-PL"/>
        </w:rPr>
      </w:pP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t>Spis treści</w:t>
      </w:r>
    </w:p>
    <w:p w14:paraId="078A2AAF" w14:textId="695ADAA8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02ECB962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1BB12E3F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1A8573FA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16A8A65A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7C72FDE1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47459C3B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6790BDEB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51F8A4D8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13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78C6F404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3612089C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12777E77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38DF7510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1D56A9EE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21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47D59B07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21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3DE208BD" w:rsidR="000C5435" w:rsidRPr="000C5435" w:rsidRDefault="00607FF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E836CA">
          <w:rPr>
            <w:rFonts w:ascii="Bahnschrift" w:hAnsi="Bahnschrift"/>
            <w:noProof/>
            <w:webHidden/>
            <w:sz w:val="20"/>
          </w:rPr>
          <w:t>22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30374A5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 xml:space="preserve">Szczegółowy opis przedmiotu zamówienia </w:t>
      </w:r>
      <w:r w:rsidR="00BA2090">
        <w:rPr>
          <w:rFonts w:cs="Arial"/>
          <w:szCs w:val="20"/>
        </w:rPr>
        <w:t>A-</w:t>
      </w:r>
      <w:r w:rsidR="00D111C5">
        <w:rPr>
          <w:rFonts w:cs="Arial"/>
          <w:szCs w:val="20"/>
        </w:rPr>
        <w:t>B</w:t>
      </w:r>
      <w:r w:rsidRPr="00CA318B">
        <w:rPr>
          <w:rFonts w:cs="Arial"/>
          <w:szCs w:val="20"/>
        </w:rPr>
        <w:t>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B463387" w14:textId="017C82CC" w:rsidR="0026325C" w:rsidRPr="00095684" w:rsidRDefault="00F85C46" w:rsidP="00095684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 xml:space="preserve">załącznik nr </w:t>
      </w:r>
    </w:p>
    <w:p w14:paraId="22415C31" w14:textId="46D9A79F" w:rsidR="00F85C46" w:rsidRPr="005B5BDF" w:rsidRDefault="00F85C46" w:rsidP="00ED1083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A80B1D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625F9F73" w14:textId="77777777" w:rsidR="00D111C5" w:rsidRDefault="003B293E" w:rsidP="00347AD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62228BF2" w:rsidR="003B293E" w:rsidRPr="00BE2503" w:rsidRDefault="003B293E" w:rsidP="00347AD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8013A32" w14:textId="77777777" w:rsidR="00D111C5" w:rsidRDefault="003B293E" w:rsidP="00D111C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>,</w:t>
      </w:r>
    </w:p>
    <w:p w14:paraId="74F8A23E" w14:textId="501CB2B9" w:rsidR="003B293E" w:rsidRPr="00BE2503" w:rsidRDefault="003B293E" w:rsidP="00D111C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6" w:name="_Hlk146268019"/>
      <w:r w:rsidR="004B08EE" w:rsidRPr="004B08EE">
        <w:rPr>
          <w:lang w:eastAsia="pl-PL"/>
        </w:rPr>
        <w:t>Dz.U. 2023 poz. 1605</w:t>
      </w:r>
      <w:bookmarkEnd w:id="6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175C6CD9" w:rsidR="000E5D19" w:rsidRPr="00F37AF3" w:rsidRDefault="00F85C46" w:rsidP="00A80B1D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</w:t>
      </w:r>
      <w:r w:rsidR="005E7B1C" w:rsidRPr="005E7B1C">
        <w:rPr>
          <w:rFonts w:eastAsia="Calibri"/>
          <w:b/>
        </w:rPr>
        <w:t>Dostawa switch</w:t>
      </w:r>
      <w:r w:rsidR="00D111C5">
        <w:rPr>
          <w:rFonts w:eastAsia="Calibri"/>
          <w:b/>
        </w:rPr>
        <w:t>a</w:t>
      </w:r>
      <w:r w:rsidR="005E7B1C" w:rsidRPr="005E7B1C">
        <w:rPr>
          <w:rFonts w:eastAsia="Calibri"/>
          <w:b/>
        </w:rPr>
        <w:t xml:space="preserve"> i router</w:t>
      </w:r>
      <w:r w:rsidR="00D111C5">
        <w:rPr>
          <w:rFonts w:eastAsia="Calibri"/>
          <w:b/>
        </w:rPr>
        <w:t>a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0D1A162F" w14:textId="0982EF82" w:rsidR="00467620" w:rsidRDefault="00F85C46" w:rsidP="00A80B1D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D111C5">
        <w:rPr>
          <w:b/>
        </w:rPr>
        <w:t>76</w:t>
      </w:r>
      <w:r w:rsidR="00095684">
        <w:rPr>
          <w:b/>
        </w:rPr>
        <w:t>.</w:t>
      </w:r>
      <w:r w:rsidR="00204EFA" w:rsidRPr="00204EFA">
        <w:rPr>
          <w:b/>
        </w:rPr>
        <w:t>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65873109" w14:textId="02B80E0B" w:rsidR="00467620" w:rsidRPr="00467620" w:rsidRDefault="00467620" w:rsidP="00A80B1D">
      <w:pPr>
        <w:pStyle w:val="Nagwek3"/>
        <w:widowControl w:val="0"/>
        <w:numPr>
          <w:ilvl w:val="0"/>
          <w:numId w:val="37"/>
        </w:numPr>
        <w:spacing w:after="120"/>
        <w:ind w:left="568" w:hanging="284"/>
        <w:contextualSpacing w:val="0"/>
      </w:pPr>
      <w:r w:rsidRPr="00467620">
        <w:t>Przedmiot zamówienia jest realizowany w ramach projektu pt.:</w:t>
      </w:r>
      <w:r w:rsidRPr="00467620">
        <w:rPr>
          <w:b/>
        </w:rPr>
        <w:t xml:space="preserve"> „jUŚt transition - Potencjał Uniwersytetu Śląskiego podstawą Sprawiedliwej Transformacji regionu”.</w:t>
      </w:r>
      <w:r w:rsidRPr="00467620">
        <w:t xml:space="preserve"> Projekt, a tym samym przedmiot zamówienia jest współfinansowany ze środków Unii Europejskiej w ramach Fundusze Europejskie dla Śląskiego 2021-2027 (Fundusz na rzecz Sprawiedliwej Transformacji), Priorytet X Fundusze Europejskie na transformację, Działanie 10.25 Rozwój kształcenia wyższego zgodnie z potrzebami zielonej gospodarki, nr umowy o dofinansowanie UDA-FESL.10.25-IZ.01-0369/23-00.</w:t>
      </w:r>
    </w:p>
    <w:p w14:paraId="40AB1996" w14:textId="1C6752D2" w:rsidR="00F85C46" w:rsidRPr="005B5BDF" w:rsidRDefault="00F85C46" w:rsidP="00A80B1D">
      <w:pPr>
        <w:pStyle w:val="Nagwek1"/>
        <w:widowControl w:val="0"/>
        <w:spacing w:before="0"/>
      </w:pPr>
      <w:bookmarkStart w:id="7" w:name="_Toc375581633"/>
      <w:bookmarkStart w:id="8" w:name="_Toc375581815"/>
      <w:bookmarkStart w:id="9" w:name="_Toc375582132"/>
      <w:bookmarkStart w:id="10" w:name="_Toc99351179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F34343" w:rsidRDefault="00F85C46" w:rsidP="00A80B1D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2A6E4399" w:rsidR="00CD4EBF" w:rsidRPr="00CD4EBF" w:rsidRDefault="004C589D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F10C74">
        <w:rPr>
          <w:rFonts w:cs="Arial"/>
          <w:b/>
          <w:bCs/>
          <w:szCs w:val="20"/>
          <w:lang w:eastAsia="pl-PL"/>
        </w:rPr>
        <w:t>switch</w:t>
      </w:r>
      <w:r w:rsidR="00D111C5">
        <w:rPr>
          <w:rFonts w:cs="Arial"/>
          <w:b/>
          <w:bCs/>
          <w:szCs w:val="20"/>
          <w:lang w:eastAsia="pl-PL"/>
        </w:rPr>
        <w:t>a</w:t>
      </w:r>
      <w:r w:rsidR="00F10C74">
        <w:rPr>
          <w:rFonts w:cs="Arial"/>
          <w:b/>
          <w:bCs/>
          <w:szCs w:val="20"/>
          <w:lang w:eastAsia="pl-PL"/>
        </w:rPr>
        <w:t xml:space="preserve"> i router</w:t>
      </w:r>
      <w:r w:rsidR="00D111C5">
        <w:rPr>
          <w:rFonts w:cs="Arial"/>
          <w:b/>
          <w:bCs/>
          <w:szCs w:val="20"/>
          <w:lang w:eastAsia="pl-PL"/>
        </w:rPr>
        <w:t>a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365EA2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w załączniku nr 2</w:t>
      </w:r>
      <w:r w:rsidR="00D813F5">
        <w:rPr>
          <w:rFonts w:cs="Arial"/>
          <w:bCs/>
          <w:szCs w:val="20"/>
          <w:lang w:eastAsia="pl-PL"/>
        </w:rPr>
        <w:t>A-</w:t>
      </w:r>
      <w:r w:rsidR="00D111C5">
        <w:rPr>
          <w:rFonts w:cs="Arial"/>
          <w:bCs/>
          <w:szCs w:val="20"/>
          <w:lang w:eastAsia="pl-PL"/>
        </w:rPr>
        <w:t>B</w:t>
      </w:r>
      <w:r w:rsidR="00CD4EBF" w:rsidRPr="00CD4EBF">
        <w:rPr>
          <w:rFonts w:cs="Arial"/>
          <w:bCs/>
          <w:szCs w:val="20"/>
          <w:lang w:eastAsia="pl-PL"/>
        </w:rPr>
        <w:t xml:space="preserve"> do SWZ,  zwan</w:t>
      </w:r>
      <w:r w:rsidR="00365EA2">
        <w:rPr>
          <w:rFonts w:cs="Arial"/>
          <w:bCs/>
          <w:szCs w:val="20"/>
          <w:lang w:eastAsia="pl-PL"/>
        </w:rPr>
        <w:t>ych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095684">
        <w:rPr>
          <w:rFonts w:cs="Arial"/>
          <w:bCs/>
          <w:szCs w:val="20"/>
          <w:lang w:eastAsia="pl-PL"/>
        </w:rPr>
        <w:t>sprzętem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0FF62374" w:rsidR="00365EA2" w:rsidRDefault="00365EA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</w:t>
      </w:r>
      <w:r w:rsidR="00095684">
        <w:rPr>
          <w:rFonts w:cs="Arial"/>
          <w:bCs/>
          <w:szCs w:val="20"/>
          <w:lang w:eastAsia="pl-PL"/>
        </w:rPr>
        <w:t>sprzęt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095684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nieużywan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7407995" w14:textId="17629FD0" w:rsidR="00C34522" w:rsidRPr="00C34522" w:rsidRDefault="00C3452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lastRenderedPageBreak/>
        <w:t xml:space="preserve">Zakres zamówienia obejmuje: dostarczenie </w:t>
      </w:r>
      <w:r w:rsidR="00095684">
        <w:rPr>
          <w:rFonts w:cs="Arial"/>
          <w:bCs/>
          <w:szCs w:val="20"/>
          <w:lang w:eastAsia="pl-PL"/>
        </w:rPr>
        <w:t xml:space="preserve">sprzętu </w:t>
      </w:r>
      <w:r w:rsidRPr="00C34522">
        <w:rPr>
          <w:rFonts w:cs="Arial"/>
          <w:bCs/>
          <w:szCs w:val="20"/>
          <w:lang w:eastAsia="pl-PL"/>
        </w:rPr>
        <w:t>wraz z rozładunkiem  i wniesieniem do miejsca wskazanego przez Zamawiającego. Wykonawca zobowiązany jest zapewnić bezpłatny serwis gwarancyjny;</w:t>
      </w:r>
    </w:p>
    <w:p w14:paraId="0863AF85" w14:textId="03B05BE5" w:rsidR="003A0DD4" w:rsidRPr="00A35F73" w:rsidRDefault="003A0DD4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152A7298" w14:textId="36233AF8" w:rsidR="00285E46" w:rsidRPr="00DD0499" w:rsidRDefault="004C589D" w:rsidP="00DD0499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</w:t>
      </w:r>
      <w:r w:rsidRPr="00DD0499">
        <w:rPr>
          <w:rFonts w:eastAsia="Calibri" w:cs="Arial"/>
          <w:bCs/>
          <w:szCs w:val="20"/>
        </w:rPr>
        <w:t>):</w:t>
      </w:r>
      <w:r w:rsidR="00305AB1" w:rsidRPr="00DD0499">
        <w:t xml:space="preserve"> </w:t>
      </w:r>
      <w:r w:rsidR="00B1598B" w:rsidRPr="00DD0499">
        <w:t>32420000-3-Urządzenia sieciowe</w:t>
      </w:r>
      <w:r w:rsidR="00DD0499" w:rsidRPr="00DD0499">
        <w:t xml:space="preserve">, </w:t>
      </w:r>
      <w:r w:rsidR="00285E46" w:rsidRPr="00DD0499">
        <w:rPr>
          <w:rFonts w:cs="Arial"/>
          <w:bCs/>
          <w:szCs w:val="20"/>
          <w:lang w:eastAsia="pl-PL"/>
        </w:rPr>
        <w:t>32413100-2-Rutery sieciowe</w:t>
      </w:r>
      <w:r w:rsidR="00DD0499" w:rsidRPr="00DD0499">
        <w:rPr>
          <w:rFonts w:cs="Arial"/>
          <w:bCs/>
          <w:szCs w:val="20"/>
          <w:lang w:eastAsia="pl-PL"/>
        </w:rPr>
        <w:t>.</w:t>
      </w:r>
    </w:p>
    <w:p w14:paraId="276985F9" w14:textId="5ACF3BF5" w:rsidR="00170642" w:rsidRPr="00026F96" w:rsidRDefault="00170642" w:rsidP="00095684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64870179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</w:t>
      </w:r>
      <w:r w:rsidR="00A81F09">
        <w:rPr>
          <w:lang w:val="pl-PL"/>
        </w:rPr>
        <w:t>A-</w:t>
      </w:r>
      <w:r w:rsidR="00D111C5">
        <w:rPr>
          <w:lang w:val="pl-PL"/>
        </w:rPr>
        <w:t>B</w:t>
      </w:r>
      <w:r w:rsidR="00170642" w:rsidRPr="005B5BDF">
        <w:t xml:space="preserve">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5986783E" w:rsidR="00F12854" w:rsidRPr="00F12854" w:rsidRDefault="00F12854" w:rsidP="00FB4B10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480B34">
        <w:rPr>
          <w:lang w:eastAsia="x-none"/>
        </w:rPr>
        <w:t>sprzętu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A50EAA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701C6C28" w:rsidR="009E363B" w:rsidRDefault="009F79A4" w:rsidP="00FB4B10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>Zamawiający 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</w:t>
      </w:r>
      <w:r w:rsidR="00A34DB1">
        <w:rPr>
          <w:rFonts w:eastAsia="Calibri"/>
        </w:rPr>
        <w:t>h:</w:t>
      </w:r>
    </w:p>
    <w:p w14:paraId="31873262" w14:textId="67B3388C" w:rsidR="00480B34" w:rsidRDefault="00480B34" w:rsidP="00DA283F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bookmarkStart w:id="11" w:name="_Hlk172198297"/>
      <w:r w:rsidRPr="00030F89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D111C5">
        <w:rPr>
          <w:rFonts w:eastAsia="Times New Roman" w:cs="Times New Roman"/>
          <w:bCs/>
          <w:szCs w:val="26"/>
          <w:lang w:eastAsia="x-none"/>
        </w:rPr>
        <w:t>A</w:t>
      </w:r>
      <w:r w:rsidRPr="00030F89">
        <w:rPr>
          <w:rFonts w:eastAsia="Times New Roman" w:cs="Times New Roman"/>
          <w:bCs/>
          <w:szCs w:val="26"/>
          <w:lang w:eastAsia="x-none"/>
        </w:rPr>
        <w:t>-</w:t>
      </w:r>
      <w:r w:rsidRPr="00D21504">
        <w:t xml:space="preserve"> </w:t>
      </w:r>
      <w:r w:rsidR="00925D6B">
        <w:rPr>
          <w:bCs/>
        </w:rPr>
        <w:t>s</w:t>
      </w:r>
      <w:r w:rsidR="00925D6B" w:rsidRPr="00925D6B">
        <w:rPr>
          <w:bCs/>
        </w:rPr>
        <w:t>witch do obsługi sieci Dante</w:t>
      </w:r>
      <w:r w:rsidR="00925D6B" w:rsidRPr="00925D6B">
        <w:rPr>
          <w:b/>
          <w:bCs/>
        </w:rPr>
        <w:t xml:space="preserve"> </w:t>
      </w:r>
      <w:r>
        <w:t>- 1 szt.</w:t>
      </w:r>
    </w:p>
    <w:p w14:paraId="437E3001" w14:textId="01B62CA8" w:rsidR="00480B34" w:rsidRPr="00480B34" w:rsidRDefault="00480B34" w:rsidP="00DA283F">
      <w:pPr>
        <w:pStyle w:val="Akapitzlist"/>
        <w:widowControl w:val="0"/>
        <w:numPr>
          <w:ilvl w:val="0"/>
          <w:numId w:val="64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030F89">
        <w:rPr>
          <w:rFonts w:eastAsia="Times New Roman" w:cs="Times New Roman"/>
          <w:bCs/>
          <w:szCs w:val="26"/>
          <w:lang w:eastAsia="x-none"/>
        </w:rPr>
        <w:t xml:space="preserve">część </w:t>
      </w:r>
      <w:r w:rsidR="00D111C5">
        <w:rPr>
          <w:rFonts w:eastAsia="Times New Roman" w:cs="Times New Roman"/>
          <w:bCs/>
          <w:szCs w:val="26"/>
          <w:lang w:eastAsia="x-none"/>
        </w:rPr>
        <w:t>B</w:t>
      </w:r>
      <w:r w:rsidRPr="00030F89">
        <w:rPr>
          <w:rFonts w:eastAsia="Times New Roman" w:cs="Times New Roman"/>
          <w:bCs/>
          <w:szCs w:val="26"/>
          <w:lang w:eastAsia="x-none"/>
        </w:rPr>
        <w:t>-</w:t>
      </w:r>
      <w:r w:rsidRPr="00D21504">
        <w:t xml:space="preserve"> </w:t>
      </w:r>
      <w:r w:rsidR="00084B76" w:rsidRPr="001A3DAB">
        <w:rPr>
          <w:bCs/>
        </w:rPr>
        <w:t>Router do obsługi sieci</w:t>
      </w:r>
      <w:r w:rsidR="00084B76" w:rsidRPr="00084B76">
        <w:rPr>
          <w:b/>
          <w:bCs/>
        </w:rPr>
        <w:t xml:space="preserve"> </w:t>
      </w:r>
      <w:r w:rsidR="00084B76" w:rsidRPr="00285E46">
        <w:rPr>
          <w:bCs/>
        </w:rPr>
        <w:t>wewnętrznej</w:t>
      </w:r>
      <w:r w:rsidR="00084B76" w:rsidRPr="00084B76">
        <w:rPr>
          <w:b/>
        </w:rPr>
        <w:t xml:space="preserve"> </w:t>
      </w:r>
      <w:r>
        <w:t>– 1 szt.</w:t>
      </w:r>
    </w:p>
    <w:bookmarkEnd w:id="11"/>
    <w:p w14:paraId="24A8A2CE" w14:textId="77777777" w:rsidR="00A34DB1" w:rsidRDefault="00A34DB1" w:rsidP="00B8505A">
      <w:pPr>
        <w:pStyle w:val="Akapitzlist"/>
        <w:widowControl w:val="0"/>
        <w:numPr>
          <w:ilvl w:val="0"/>
          <w:numId w:val="65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bCs/>
          <w:iCs/>
          <w:lang w:eastAsia="x-none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350890D2" w:rsidR="00BA7E0B" w:rsidRPr="00A34DB1" w:rsidRDefault="00BA7E0B" w:rsidP="00B8505A">
      <w:pPr>
        <w:pStyle w:val="Akapitzlist"/>
        <w:widowControl w:val="0"/>
        <w:numPr>
          <w:ilvl w:val="0"/>
          <w:numId w:val="65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B8505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3E8F2AA8" w14:textId="57F7A82B" w:rsidR="00DA283F" w:rsidRPr="00DD0499" w:rsidRDefault="00F0343C" w:rsidP="00801093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lastRenderedPageBreak/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DD0499">
        <w:rPr>
          <w:b w:val="0"/>
          <w:color w:val="auto"/>
        </w:rPr>
        <w:t xml:space="preserve">do </w:t>
      </w:r>
      <w:r w:rsidR="00465C50" w:rsidRPr="00DD0499">
        <w:rPr>
          <w:b w:val="0"/>
          <w:color w:val="auto"/>
        </w:rPr>
        <w:t>17</w:t>
      </w:r>
      <w:r w:rsidR="00C96E09" w:rsidRPr="00DD0499">
        <w:rPr>
          <w:b w:val="0"/>
          <w:color w:val="auto"/>
        </w:rPr>
        <w:t xml:space="preserve"> dni </w:t>
      </w:r>
      <w:r w:rsidRPr="00DD0499">
        <w:rPr>
          <w:b w:val="0"/>
          <w:color w:val="auto"/>
        </w:rPr>
        <w:t xml:space="preserve">od </w:t>
      </w:r>
      <w:r w:rsidR="00DD0499" w:rsidRPr="00DD0499">
        <w:rPr>
          <w:b w:val="0"/>
          <w:color w:val="auto"/>
        </w:rPr>
        <w:t xml:space="preserve">otrzymania </w:t>
      </w:r>
      <w:r w:rsidR="00465C50" w:rsidRPr="00DD0499">
        <w:rPr>
          <w:b w:val="0"/>
          <w:color w:val="auto"/>
        </w:rPr>
        <w:t>zamówienia</w:t>
      </w:r>
      <w:r w:rsidR="001A3DAB" w:rsidRPr="00DD0499">
        <w:rPr>
          <w:b w:val="0"/>
          <w:color w:val="auto"/>
        </w:rPr>
        <w:t>;</w:t>
      </w:r>
    </w:p>
    <w:p w14:paraId="06B9A911" w14:textId="19BC53C2" w:rsidR="000518A0" w:rsidRPr="008F21F1" w:rsidRDefault="00E51823" w:rsidP="00B8505A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F21F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80109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4E756AAF" w14:textId="77777777" w:rsidR="00465C50" w:rsidRPr="00FF2D81" w:rsidRDefault="00F85C46" w:rsidP="00B8505A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b/>
          <w:bCs/>
        </w:rPr>
      </w:pPr>
      <w:r w:rsidRPr="00DB45D6">
        <w:rPr>
          <w:b/>
        </w:rPr>
        <w:t>Adres dostawy</w:t>
      </w:r>
      <w:r w:rsidRPr="008F21F1">
        <w:t xml:space="preserve">: </w:t>
      </w:r>
      <w:r w:rsidR="00465C50" w:rsidRPr="00FF2D81">
        <w:t>Uniwersytet Śląski w Katowicach, Dział Zarządzania Dostawami, ul. Bankowa 14,                 40-007 Katowice;</w:t>
      </w:r>
    </w:p>
    <w:p w14:paraId="56E4DDBD" w14:textId="1E75E76E" w:rsidR="00934D7C" w:rsidRPr="009A233A" w:rsidRDefault="00687243" w:rsidP="00B8505A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szCs w:val="20"/>
        </w:rPr>
      </w:pPr>
      <w:r w:rsidRPr="009A233A">
        <w:rPr>
          <w:b/>
          <w:szCs w:val="20"/>
        </w:rPr>
        <w:t>Wymagany minimalny termin gwarancji</w:t>
      </w:r>
      <w:r w:rsidR="006E7582" w:rsidRPr="009A233A">
        <w:rPr>
          <w:szCs w:val="20"/>
        </w:rPr>
        <w:t>:</w:t>
      </w:r>
      <w:r w:rsidR="00FF2D81">
        <w:rPr>
          <w:szCs w:val="20"/>
        </w:rPr>
        <w:t xml:space="preserve"> </w:t>
      </w:r>
      <w:r w:rsidR="00FF2D81" w:rsidRPr="00FF2D81">
        <w:rPr>
          <w:szCs w:val="20"/>
        </w:rPr>
        <w:t>24 m-ce;</w:t>
      </w:r>
    </w:p>
    <w:p w14:paraId="440E065C" w14:textId="6BE8D81A" w:rsidR="00F85C46" w:rsidRDefault="00F85C46" w:rsidP="00B8505A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80109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B8505A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80109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BA58BC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0704B9B6" w:rsidR="00364028" w:rsidRDefault="00593C25" w:rsidP="00801093">
      <w:pPr>
        <w:pStyle w:val="Nagwek2"/>
        <w:keepNext w:val="0"/>
        <w:widowControl w:val="0"/>
        <w:spacing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ED1083">
      <w:pPr>
        <w:pStyle w:val="Nagwek1"/>
      </w:pPr>
      <w:bookmarkStart w:id="12" w:name="_Toc99351180"/>
      <w:r w:rsidRPr="005B5BDF">
        <w:t>Przedmiotowe środki dowodowe.</w:t>
      </w:r>
      <w:bookmarkEnd w:id="12"/>
    </w:p>
    <w:p w14:paraId="5A92E1C0" w14:textId="6CE95966" w:rsidR="00F65A36" w:rsidRPr="00455E04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F62027">
            <w:pPr>
              <w:widowControl w:val="0"/>
              <w:spacing w:before="120" w:after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lastRenderedPageBreak/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F62027">
            <w:pPr>
              <w:widowControl w:val="0"/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050B03F7" w:rsidR="00636F3B" w:rsidRDefault="00985869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1D3915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1D3915" w:rsidRPr="001D3915">
              <w:rPr>
                <w:b w:val="0"/>
                <w:szCs w:val="18"/>
              </w:rPr>
              <w:t>s</w:t>
            </w:r>
            <w:r w:rsidR="001D3915" w:rsidRPr="001D3915">
              <w:rPr>
                <w:b w:val="0"/>
                <w:bCs w:val="0"/>
                <w:iCs/>
                <w:szCs w:val="20"/>
              </w:rPr>
              <w:t>przętu</w:t>
            </w:r>
            <w:r w:rsidR="00E55332" w:rsidRPr="001D3915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43988287" w:rsidR="00985869" w:rsidRPr="00FA6B17" w:rsidRDefault="00636F3B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</w:t>
            </w:r>
            <w:r w:rsidR="00E77D5E">
              <w:rPr>
                <w:b w:val="0"/>
                <w:sz w:val="18"/>
                <w:szCs w:val="18"/>
              </w:rPr>
              <w:t>A</w:t>
            </w:r>
            <w:r w:rsidR="00F62027">
              <w:rPr>
                <w:b w:val="0"/>
                <w:sz w:val="18"/>
                <w:szCs w:val="18"/>
              </w:rPr>
              <w:t>-</w:t>
            </w:r>
            <w:r w:rsidR="00D111C5">
              <w:rPr>
                <w:b w:val="0"/>
                <w:sz w:val="18"/>
                <w:szCs w:val="18"/>
              </w:rPr>
              <w:t>B</w:t>
            </w:r>
            <w:r>
              <w:rPr>
                <w:b w:val="0"/>
                <w:sz w:val="18"/>
                <w:szCs w:val="18"/>
              </w:rPr>
              <w:t xml:space="preserve">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F62027">
            <w:pPr>
              <w:widowControl w:val="0"/>
              <w:spacing w:before="12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F62027">
            <w:pPr>
              <w:widowControl w:val="0"/>
              <w:spacing w:after="12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803DDC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4ABDE67F" w:rsidR="00C25340" w:rsidRDefault="00C325E2" w:rsidP="00536D6A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ED1083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3"/>
      <w:bookmarkEnd w:id="14"/>
      <w:bookmarkEnd w:id="15"/>
      <w:bookmarkEnd w:id="16"/>
      <w:r w:rsidRPr="005B5BDF">
        <w:t xml:space="preserve"> </w:t>
      </w:r>
    </w:p>
    <w:p w14:paraId="55FBF8D8" w14:textId="71704F0F" w:rsidR="00A867B7" w:rsidRPr="00F82100" w:rsidRDefault="00A62353" w:rsidP="0068625C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8625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4CD44F08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07E8C585" w14:textId="77777777" w:rsidR="00D111C5" w:rsidRPr="00D111C5" w:rsidRDefault="00D111C5" w:rsidP="00D111C5">
      <w:pPr>
        <w:pStyle w:val="Tekstpodstawowy"/>
        <w:rPr>
          <w:lang w:val="pl-PL" w:eastAsia="x-none"/>
        </w:rPr>
      </w:pPr>
    </w:p>
    <w:p w14:paraId="43F7DAEF" w14:textId="77777777" w:rsidR="00BC70A8" w:rsidRDefault="00BC70A8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lastRenderedPageBreak/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550D883" w:rsidR="00BC70A8" w:rsidRPr="00BC70A8" w:rsidRDefault="00BC70A8" w:rsidP="0068625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68625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3F4B8936" w:rsidR="00BC70A8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lastRenderedPageBreak/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ED1083">
      <w:pPr>
        <w:pStyle w:val="Nagwek1"/>
      </w:pPr>
      <w:bookmarkStart w:id="17" w:name="_Toc99351182"/>
      <w:r w:rsidRPr="00F82100">
        <w:t>Kwalifikacja podmiotowa – warunki udziału w postępowaniu.</w:t>
      </w:r>
      <w:bookmarkEnd w:id="17"/>
    </w:p>
    <w:p w14:paraId="0C7E6B52" w14:textId="1EF1651C" w:rsidR="00F85C46" w:rsidRDefault="00473D30" w:rsidP="004949E2">
      <w:pPr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ED1083">
      <w:pPr>
        <w:pStyle w:val="Nagwek1"/>
        <w:rPr>
          <w:noProof/>
        </w:rPr>
      </w:pPr>
      <w:bookmarkStart w:id="18" w:name="_Toc99351183"/>
      <w:r w:rsidRPr="00F82100">
        <w:rPr>
          <w:noProof/>
        </w:rPr>
        <w:t>Oświadczenie wstępne, podmiotowe środki dowodowe oraz inne dokumenty.</w:t>
      </w:r>
      <w:bookmarkEnd w:id="18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5B5BDF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07586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075867">
            <w:pPr>
              <w:spacing w:before="120" w:after="100" w:afterAutospacing="1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4E68A15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1A3AE945" w14:textId="07EE2A1B" w:rsidR="00F62027" w:rsidRDefault="00C035AE" w:rsidP="00D111C5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D11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D1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7DEA7F0" w14:textId="25A05AAA" w:rsidR="00815FE8" w:rsidRPr="00FC0CC1" w:rsidRDefault="000D4319" w:rsidP="00D111C5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ile </w:t>
            </w:r>
            <w:r w:rsidR="00D111C5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004745D0" w:rsidR="00815FE8" w:rsidRPr="00D111C5" w:rsidRDefault="00971C05" w:rsidP="00D111C5">
            <w:pPr>
              <w:widowControl w:val="0"/>
              <w:tabs>
                <w:tab w:val="left" w:pos="426"/>
              </w:tabs>
              <w:spacing w:line="36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10A86"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lastRenderedPageBreak/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E7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BAE121B" w14:textId="77777777" w:rsidR="00971C05" w:rsidRDefault="00971C05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</w:p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D1083">
      <w:pPr>
        <w:pStyle w:val="Nagwek1"/>
      </w:pPr>
      <w:bookmarkStart w:id="19" w:name="_Toc99351184"/>
      <w:r w:rsidRPr="005B5BDF">
        <w:t>Wymagania dotyczące wadium.</w:t>
      </w:r>
      <w:bookmarkStart w:id="20" w:name="OLE_LINK1"/>
      <w:bookmarkEnd w:id="19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ED1083">
      <w:pPr>
        <w:pStyle w:val="Nagwek1"/>
      </w:pPr>
      <w:bookmarkStart w:id="21" w:name="_Toc99351185"/>
      <w:bookmarkEnd w:id="20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1"/>
    </w:p>
    <w:p w14:paraId="618711CE" w14:textId="7B68746D" w:rsidR="00907E2D" w:rsidRPr="00307594" w:rsidRDefault="00907E2D" w:rsidP="0068625C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68625C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6098DE1" w:rsidR="00636F3B" w:rsidRDefault="00801A5D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447E62FA" w14:textId="35BE282F" w:rsidR="009442D3" w:rsidRDefault="00C540B8" w:rsidP="009442D3">
      <w:pPr>
        <w:pStyle w:val="Nagwek3"/>
        <w:widowControl w:val="0"/>
        <w:ind w:left="567"/>
        <w:contextualSpacing w:val="0"/>
        <w:rPr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18657E" w14:textId="51FA8B7B" w:rsidR="009442D3" w:rsidRDefault="009442D3" w:rsidP="009442D3">
      <w:pPr>
        <w:pStyle w:val="Tekstpodstawowy"/>
        <w:rPr>
          <w:lang w:val="pl" w:eastAsia="x-none"/>
        </w:rPr>
      </w:pPr>
    </w:p>
    <w:p w14:paraId="13C5DF6E" w14:textId="77777777" w:rsidR="009442D3" w:rsidRPr="009442D3" w:rsidRDefault="009442D3" w:rsidP="009442D3">
      <w:pPr>
        <w:pStyle w:val="Tekstpodstawowy"/>
        <w:rPr>
          <w:lang w:val="pl" w:eastAsia="x-none"/>
        </w:rPr>
      </w:pPr>
    </w:p>
    <w:p w14:paraId="5B54102A" w14:textId="257ACFF9" w:rsidR="00FC3A95" w:rsidRPr="00636F3B" w:rsidRDefault="00FC3A95" w:rsidP="006826C5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lastRenderedPageBreak/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801093" w:rsidRDefault="006D6009" w:rsidP="006826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801093">
        <w:rPr>
          <w:rFonts w:eastAsia="Calibri"/>
          <w:color w:val="auto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6826C5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964E43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7BE9EA9" w14:textId="48E6FDC1" w:rsidR="00D05F0F" w:rsidRPr="00604E32" w:rsidRDefault="00D05F0F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964E43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964E43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29192819" w:rsidR="009159B0" w:rsidRDefault="009159B0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45241635" w14:textId="77777777" w:rsidR="009442D3" w:rsidRPr="009442D3" w:rsidRDefault="009442D3" w:rsidP="009442D3">
      <w:pPr>
        <w:pStyle w:val="Tekstpodstawowy"/>
        <w:rPr>
          <w:lang w:val="pl" w:eastAsia="x-none"/>
        </w:rPr>
      </w:pP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lastRenderedPageBreak/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4CD21AD" w:rsidR="00E21011" w:rsidRDefault="00636F3B" w:rsidP="00DA283F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="00801093" w:rsidRPr="00801093">
        <w:t xml:space="preserve">21 maja 2024 r. </w:t>
      </w:r>
      <w:r w:rsidRPr="005B5BDF">
        <w:t xml:space="preserve">w sprawie Krajowych Ram Interoperacyjności, minimalnych wymagań dla rejestrów publicznych i wymiany informacji w postaci elektronicznej oraz minimalnych wymagań dla systemów teleinformatycznych </w:t>
      </w:r>
      <w:r w:rsidR="00801093">
        <w:t>(</w:t>
      </w:r>
      <w:r w:rsidR="00801093" w:rsidRPr="00801093">
        <w:t>t.j. Dz.U. 2024 poz. 773);</w:t>
      </w:r>
    </w:p>
    <w:p w14:paraId="748CA24D" w14:textId="77777777" w:rsidR="00E21011" w:rsidRDefault="00636F3B" w:rsidP="00DA283F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DA283F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DA283F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1474C1E7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5E3F7BCE" w14:textId="77777777" w:rsidR="009442D3" w:rsidRPr="009442D3" w:rsidRDefault="009442D3" w:rsidP="009442D3">
      <w:pPr>
        <w:pStyle w:val="Tekstpodstawowy"/>
        <w:rPr>
          <w:lang w:val="pl" w:eastAsia="x-none"/>
        </w:rPr>
      </w:pP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D1083">
      <w:pPr>
        <w:pStyle w:val="Nagwek1"/>
      </w:pPr>
      <w:bookmarkStart w:id="22" w:name="_wp2umuqo1p7z" w:colFirst="0" w:colLast="0"/>
      <w:bookmarkStart w:id="23" w:name="_Toc99351186"/>
      <w:bookmarkEnd w:id="22"/>
      <w:r w:rsidRPr="005B5BDF">
        <w:t>Opis sposobu przygotowania ofert.</w:t>
      </w:r>
      <w:bookmarkEnd w:id="23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4BE52284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Wykonawca może złożyć tylko jedną ofertę w zakresie </w:t>
      </w:r>
      <w:r w:rsidR="00383B77">
        <w:t xml:space="preserve">danej części </w:t>
      </w:r>
      <w:r w:rsidRPr="00307594">
        <w:t>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47498531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  <w:rPr>
          <w:rFonts w:eastAsia="Arial Unicode MS"/>
        </w:rPr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447D733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  <w:rPr>
          <w:rStyle w:val="Hipercze"/>
          <w:rFonts w:eastAsia="Arial Unicode MS"/>
        </w:rPr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1BB9D59B" w14:textId="43445FDE" w:rsidR="009442D3" w:rsidRDefault="009442D3" w:rsidP="009442D3">
      <w:pPr>
        <w:pStyle w:val="Tekstpodstawowy"/>
        <w:rPr>
          <w:lang w:val="pl-PL" w:eastAsia="x-none"/>
        </w:rPr>
      </w:pPr>
    </w:p>
    <w:p w14:paraId="311EA935" w14:textId="77777777" w:rsidR="009442D3" w:rsidRPr="009442D3" w:rsidRDefault="009442D3" w:rsidP="009442D3">
      <w:pPr>
        <w:pStyle w:val="Tekstpodstawowy"/>
        <w:rPr>
          <w:lang w:val="pl-PL" w:eastAsia="x-none"/>
        </w:rPr>
      </w:pPr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lastRenderedPageBreak/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004E1CC4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4FB23BC2" w14:textId="03AB4FEF" w:rsidR="009442D3" w:rsidRDefault="009442D3" w:rsidP="009442D3">
      <w:pPr>
        <w:pStyle w:val="Tekstpodstawowy"/>
        <w:rPr>
          <w:lang w:val="pl-PL" w:eastAsia="x-none"/>
        </w:rPr>
      </w:pPr>
    </w:p>
    <w:p w14:paraId="5E262624" w14:textId="77777777" w:rsidR="009442D3" w:rsidRPr="009442D3" w:rsidRDefault="009442D3" w:rsidP="009442D3">
      <w:pPr>
        <w:pStyle w:val="Tekstpodstawowy"/>
        <w:rPr>
          <w:lang w:val="pl-PL" w:eastAsia="x-none"/>
        </w:rPr>
      </w:pP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lastRenderedPageBreak/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78921442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 xml:space="preserve">podaniem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0D47128C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="001D3915" w:rsidRPr="00F627A9">
        <w:rPr>
          <w:rFonts w:eastAsia="Times New Roman" w:cs="Times New Roman"/>
          <w:bCs/>
          <w:szCs w:val="26"/>
          <w:lang w:eastAsia="x-none"/>
        </w:rPr>
        <w:t>,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73870713" w14:textId="349DCA55" w:rsidR="00BD60B2" w:rsidRPr="009442D3" w:rsidRDefault="00E23287" w:rsidP="009442D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6E6FB913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62027">
        <w:rPr>
          <w:b/>
        </w:rPr>
        <w:t>sprzętu</w:t>
      </w:r>
      <w:r w:rsidR="006E14E3">
        <w:rPr>
          <w:b/>
        </w:rPr>
        <w:t xml:space="preserve"> </w:t>
      </w:r>
      <w:r w:rsidR="00CC568A" w:rsidRPr="00CC568A">
        <w:rPr>
          <w:b/>
        </w:rPr>
        <w:t>wraz z dostawą, koszt rozładunku i wniesienia w miejsce wskazane przez Zamawiającego, 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2467F426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430E2468" w14:textId="77777777" w:rsidR="009442D3" w:rsidRPr="009442D3" w:rsidRDefault="009442D3" w:rsidP="009442D3">
      <w:pPr>
        <w:pStyle w:val="Tekstpodstawowy"/>
        <w:rPr>
          <w:lang w:val="pl-PL" w:eastAsia="x-none"/>
        </w:rPr>
      </w:pP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lastRenderedPageBreak/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580CB2A9" w14:textId="77777777" w:rsidR="009529BD" w:rsidRDefault="00473F6B" w:rsidP="009529BD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72425A9F" w14:textId="240AE67C" w:rsidR="009529BD" w:rsidRPr="009529BD" w:rsidRDefault="00473F6B" w:rsidP="009529BD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</w:t>
      </w:r>
      <w:r w:rsidR="009529BD">
        <w:t>.</w:t>
      </w:r>
    </w:p>
    <w:p w14:paraId="6CFCE34C" w14:textId="5FC10A3D" w:rsidR="009529BD" w:rsidRPr="003C5D9A" w:rsidRDefault="009529BD" w:rsidP="009529BD">
      <w:pPr>
        <w:pStyle w:val="Akapitzlist"/>
        <w:numPr>
          <w:ilvl w:val="0"/>
          <w:numId w:val="22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3C5D9A">
        <w:rPr>
          <w:rFonts w:eastAsia="Times New Roman" w:cs="Times New Roman"/>
          <w:bCs/>
          <w:szCs w:val="26"/>
          <w:lang w:eastAsia="x-none"/>
        </w:rPr>
        <w:t>Jeżeli, po zawarciu umowy Zamawiający uzyska potwierdzenie przez MNiSW (Ministerstwo Nauki                      i Szkolnictwa Wyższego), iż sprzęt będący przedmiotem umowy jest przeznaczony dla placówki oświatowej, Wykonawca będzie miał prawo do zastosowania stawki podatku VAT w wysokości 0%.</w:t>
      </w:r>
    </w:p>
    <w:p w14:paraId="4103EAC3" w14:textId="4839D067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lastRenderedPageBreak/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D1083">
      <w:pPr>
        <w:pStyle w:val="Nagwek1"/>
      </w:pPr>
      <w:bookmarkStart w:id="24" w:name="_Toc99351187"/>
      <w:r w:rsidRPr="005B5BDF">
        <w:t>Sposób oraz termin składania ofert.</w:t>
      </w:r>
      <w:bookmarkEnd w:id="24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0D5BD3CE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184497">
        <w:rPr>
          <w:b/>
          <w:shd w:val="clear" w:color="auto" w:fill="D9E2F3" w:themeFill="accent1" w:themeFillTint="33"/>
          <w:lang w:eastAsia="x-none"/>
        </w:rPr>
        <w:t>0</w:t>
      </w:r>
      <w:r w:rsidR="00607FFB">
        <w:rPr>
          <w:b/>
          <w:shd w:val="clear" w:color="auto" w:fill="D9E2F3" w:themeFill="accent1" w:themeFillTint="33"/>
          <w:lang w:eastAsia="x-none"/>
        </w:rPr>
        <w:t>2</w:t>
      </w:r>
      <w:r w:rsidR="00184497">
        <w:rPr>
          <w:b/>
          <w:shd w:val="clear" w:color="auto" w:fill="D9E2F3" w:themeFill="accent1" w:themeFillTint="33"/>
          <w:lang w:eastAsia="x-none"/>
        </w:rPr>
        <w:t>.09.2024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1E276874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71D998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D1083">
      <w:pPr>
        <w:pStyle w:val="Nagwek1"/>
      </w:pPr>
      <w:bookmarkStart w:id="25" w:name="_Toc99351188"/>
      <w:r w:rsidRPr="005B5BDF">
        <w:t>Termin i tryb otwarcia ofert.</w:t>
      </w:r>
      <w:bookmarkEnd w:id="25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260E2885" w:rsidR="007B0947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  <w:b/>
          <w:shd w:val="clear" w:color="auto" w:fill="D9E2F3" w:themeFill="accent1" w:themeFillTint="33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184497">
        <w:rPr>
          <w:rFonts w:eastAsia="Calibri"/>
          <w:b/>
          <w:shd w:val="clear" w:color="auto" w:fill="DEEAF6" w:themeFill="accent5" w:themeFillTint="33"/>
        </w:rPr>
        <w:t>0</w:t>
      </w:r>
      <w:r w:rsidR="00607FFB">
        <w:rPr>
          <w:rFonts w:eastAsia="Calibri"/>
          <w:b/>
          <w:shd w:val="clear" w:color="auto" w:fill="DEEAF6" w:themeFill="accent5" w:themeFillTint="33"/>
        </w:rPr>
        <w:t>2</w:t>
      </w:r>
      <w:r w:rsidR="00184497">
        <w:rPr>
          <w:rFonts w:eastAsia="Calibri"/>
          <w:b/>
          <w:shd w:val="clear" w:color="auto" w:fill="DEEAF6" w:themeFill="accent5" w:themeFillTint="33"/>
        </w:rPr>
        <w:t xml:space="preserve">.09.2024 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1CFDBAD4" w14:textId="77777777" w:rsidR="009442D3" w:rsidRPr="009442D3" w:rsidRDefault="009442D3" w:rsidP="009442D3">
      <w:pPr>
        <w:pStyle w:val="Tekstpodstawowy"/>
        <w:rPr>
          <w:lang w:val="pl-PL" w:eastAsia="x-none"/>
        </w:rPr>
      </w:pP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lastRenderedPageBreak/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D1083">
      <w:pPr>
        <w:pStyle w:val="Nagwek1"/>
      </w:pPr>
      <w:bookmarkStart w:id="26" w:name="_Toc99351189"/>
      <w:r w:rsidRPr="005B5BDF">
        <w:t>Termin związania ofertą.</w:t>
      </w:r>
      <w:bookmarkEnd w:id="26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001A42AA" w:rsidR="00D06776" w:rsidRDefault="00D06776" w:rsidP="0038419F">
      <w:pPr>
        <w:pStyle w:val="Nagwek3"/>
        <w:widowControl w:val="0"/>
        <w:ind w:left="284"/>
        <w:contextualSpacing w:val="0"/>
        <w:rPr>
          <w:b/>
          <w:shd w:val="clear" w:color="auto" w:fill="D9E2F3" w:themeFill="accent1" w:themeFillTint="33"/>
        </w:rPr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184497">
        <w:rPr>
          <w:b/>
          <w:shd w:val="clear" w:color="auto" w:fill="D9E2F3" w:themeFill="accent1" w:themeFillTint="33"/>
        </w:rPr>
        <w:t>0</w:t>
      </w:r>
      <w:r w:rsidR="00607FFB">
        <w:rPr>
          <w:b/>
          <w:shd w:val="clear" w:color="auto" w:fill="D9E2F3" w:themeFill="accent1" w:themeFillTint="33"/>
        </w:rPr>
        <w:t>1</w:t>
      </w:r>
      <w:bookmarkStart w:id="27" w:name="_GoBack"/>
      <w:bookmarkEnd w:id="27"/>
      <w:r w:rsidR="00184497">
        <w:rPr>
          <w:b/>
          <w:shd w:val="clear" w:color="auto" w:fill="D9E2F3" w:themeFill="accent1" w:themeFillTint="33"/>
        </w:rPr>
        <w:t>.10.2024</w:t>
      </w:r>
      <w:r w:rsidR="001D0AD6" w:rsidRPr="001D0AD6">
        <w:rPr>
          <w:b/>
          <w:shd w:val="clear" w:color="auto" w:fill="D9E2F3" w:themeFill="accent1" w:themeFillTint="33"/>
        </w:rPr>
        <w:t>.</w:t>
      </w:r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4CF51368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0F6660E" w14:textId="37B608CB" w:rsidR="009442D3" w:rsidRDefault="009442D3" w:rsidP="009442D3">
      <w:pPr>
        <w:pStyle w:val="Tekstpodstawowy"/>
        <w:rPr>
          <w:lang w:val="pl-PL" w:eastAsia="x-none"/>
        </w:rPr>
      </w:pPr>
    </w:p>
    <w:p w14:paraId="5D7C2830" w14:textId="5A62C101" w:rsidR="009442D3" w:rsidRDefault="009442D3" w:rsidP="009442D3">
      <w:pPr>
        <w:pStyle w:val="Tekstpodstawowy"/>
        <w:rPr>
          <w:lang w:val="pl-PL" w:eastAsia="x-none"/>
        </w:rPr>
      </w:pPr>
    </w:p>
    <w:p w14:paraId="19932D77" w14:textId="77777777" w:rsidR="009442D3" w:rsidRPr="009442D3" w:rsidRDefault="009442D3" w:rsidP="009442D3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ED1083">
      <w:pPr>
        <w:pStyle w:val="Nagwek1"/>
      </w:pPr>
      <w:bookmarkStart w:id="28" w:name="_Toc99351190"/>
      <w:r w:rsidRPr="005B5BDF">
        <w:lastRenderedPageBreak/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8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3809EA6F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F52927">
        <w:t xml:space="preserve"> w zakresie danej części </w:t>
      </w:r>
      <w:r w:rsidR="00F85C46" w:rsidRPr="005B5BDF">
        <w:t>postępowania</w:t>
      </w:r>
      <w:r w:rsidR="00F52927">
        <w:t xml:space="preserve">, 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78B8069D" w14:textId="77777777" w:rsidR="00F52927" w:rsidRPr="00F52927" w:rsidRDefault="00B4713F" w:rsidP="00CC568A">
      <w:pPr>
        <w:pStyle w:val="Nagwek4"/>
        <w:numPr>
          <w:ilvl w:val="0"/>
          <w:numId w:val="55"/>
        </w:numPr>
        <w:spacing w:before="360"/>
        <w:ind w:left="1134" w:hanging="283"/>
        <w:rPr>
          <w:rFonts w:cs="Arial"/>
        </w:rPr>
      </w:pPr>
      <w:r w:rsidRPr="003C5D9A">
        <w:t>Zasady przyznawania punktów w kryterium „</w:t>
      </w:r>
      <w:r w:rsidRPr="003C5D9A">
        <w:rPr>
          <w:b/>
        </w:rPr>
        <w:t>Termin realizacji</w:t>
      </w:r>
      <w:r w:rsidR="00BE41E2" w:rsidRPr="003C5D9A">
        <w:t xml:space="preserve"> </w:t>
      </w:r>
      <w:r w:rsidR="00BE41E2" w:rsidRPr="003C5D9A">
        <w:rPr>
          <w:b/>
        </w:rPr>
        <w:t>zamówienia</w:t>
      </w:r>
      <w:r w:rsidRPr="003C5D9A">
        <w:t>”:</w:t>
      </w:r>
      <w:r w:rsidR="002C0900" w:rsidRPr="003C5D9A">
        <w:t xml:space="preserve"> </w:t>
      </w:r>
    </w:p>
    <w:p w14:paraId="52530507" w14:textId="77777777" w:rsidR="00F52927" w:rsidRDefault="00CC568A" w:rsidP="00F52927">
      <w:pPr>
        <w:pStyle w:val="Nagwek4"/>
        <w:numPr>
          <w:ilvl w:val="0"/>
          <w:numId w:val="0"/>
        </w:numPr>
        <w:spacing w:before="360"/>
        <w:ind w:left="1134"/>
        <w:rPr>
          <w:rFonts w:cs="Arial"/>
        </w:rPr>
      </w:pPr>
      <w:r w:rsidRPr="003C5D9A">
        <w:t xml:space="preserve">Zamawiający w ramach tego kryterium przyzna maksymalnie </w:t>
      </w:r>
      <w:r w:rsidRPr="003C5D9A">
        <w:rPr>
          <w:lang w:val="pl-PL"/>
        </w:rPr>
        <w:t>4</w:t>
      </w:r>
      <w:r w:rsidRPr="003C5D9A">
        <w:t>0 pkt.</w:t>
      </w:r>
      <w:r w:rsidRPr="003C5D9A">
        <w:rPr>
          <w:lang w:val="pl-PL"/>
        </w:rPr>
        <w:t xml:space="preserve"> </w:t>
      </w:r>
      <w:r w:rsidRPr="003C5D9A">
        <w:rPr>
          <w:rFonts w:cs="Arial"/>
        </w:rPr>
        <w:t>Zgodnie z warunkami SWZ, maksymalny wymagany termin realizacji zamówienia wynosi:</w:t>
      </w:r>
      <w:r w:rsidRPr="003C5D9A">
        <w:t xml:space="preserve"> </w:t>
      </w:r>
      <w:r w:rsidRPr="003C5D9A">
        <w:rPr>
          <w:rFonts w:cs="Arial"/>
        </w:rPr>
        <w:t xml:space="preserve">do </w:t>
      </w:r>
      <w:r w:rsidR="003C5D9A">
        <w:rPr>
          <w:rFonts w:cs="Arial"/>
          <w:lang w:val="pl-PL"/>
        </w:rPr>
        <w:t>17</w:t>
      </w:r>
      <w:r w:rsidRPr="003C5D9A">
        <w:rPr>
          <w:rFonts w:cs="Arial"/>
        </w:rPr>
        <w:t xml:space="preserve"> dni od </w:t>
      </w:r>
      <w:r w:rsidR="00652D62" w:rsidRPr="003C5D9A">
        <w:rPr>
          <w:rFonts w:cs="Arial"/>
          <w:lang w:val="pl-PL"/>
        </w:rPr>
        <w:t xml:space="preserve">daty </w:t>
      </w:r>
      <w:r w:rsidR="003C5D9A">
        <w:rPr>
          <w:rFonts w:cs="Arial"/>
          <w:lang w:val="pl-PL"/>
        </w:rPr>
        <w:t>otrzymania zamówienia</w:t>
      </w:r>
      <w:r w:rsidRPr="003C5D9A">
        <w:rPr>
          <w:rFonts w:cs="Arial"/>
        </w:rPr>
        <w:t xml:space="preserve">. </w:t>
      </w:r>
    </w:p>
    <w:p w14:paraId="44AECE12" w14:textId="25DAB4B3" w:rsidR="00CC568A" w:rsidRDefault="00CC568A" w:rsidP="00F52927">
      <w:pPr>
        <w:pStyle w:val="Nagwek4"/>
        <w:numPr>
          <w:ilvl w:val="0"/>
          <w:numId w:val="0"/>
        </w:numPr>
        <w:spacing w:before="360"/>
        <w:ind w:left="1134"/>
        <w:rPr>
          <w:rFonts w:cs="Arial"/>
        </w:rPr>
      </w:pPr>
      <w:r w:rsidRPr="003C5D9A">
        <w:rPr>
          <w:rFonts w:cs="Arial"/>
        </w:rPr>
        <w:t>Ocena dla tego kryterium będzie obliczana na podstawie złożonego przez Wykonawcę oświadczenia w formularzu oferty, stanowiącym załącznik nr 1A do SWZ.</w:t>
      </w:r>
    </w:p>
    <w:p w14:paraId="1ECED7AC" w14:textId="77777777" w:rsidR="003C5D9A" w:rsidRPr="000F270C" w:rsidRDefault="003C5D9A" w:rsidP="00F52927">
      <w:pPr>
        <w:widowControl w:val="0"/>
        <w:numPr>
          <w:ilvl w:val="0"/>
          <w:numId w:val="57"/>
        </w:numPr>
        <w:ind w:left="1276" w:hanging="425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t>za każdy dzień poniżej 17 dni, Zamawiający przyzna 2,5 pkt, tj.: 17 dni – 0 pkt, (16 dni – 2,5 pkt; 9 dni – 20 pkt; … ; 2 dni – 37,5 pkt), 1 dzień  – 40 pkt;</w:t>
      </w:r>
    </w:p>
    <w:p w14:paraId="0034A500" w14:textId="77777777" w:rsidR="003C5D9A" w:rsidRPr="000F270C" w:rsidRDefault="003C5D9A" w:rsidP="00F52927">
      <w:pPr>
        <w:widowControl w:val="0"/>
        <w:numPr>
          <w:ilvl w:val="0"/>
          <w:numId w:val="57"/>
        </w:numPr>
        <w:ind w:left="1276" w:hanging="425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t>brak oświadczenia lub dłuższy termin realizacji (tj. &gt;17 dni) – oferta zostanie odrzucona, jako niezgodna z warunkami zamówienia na podstawie art. 226 ust. 1 pkt 5 ustawy Pzp;</w:t>
      </w:r>
    </w:p>
    <w:p w14:paraId="7EAA975C" w14:textId="77777777" w:rsidR="003C5D9A" w:rsidRPr="000F270C" w:rsidRDefault="003C5D9A" w:rsidP="00F52927">
      <w:pPr>
        <w:widowControl w:val="0"/>
        <w:numPr>
          <w:ilvl w:val="0"/>
          <w:numId w:val="57"/>
        </w:numPr>
        <w:ind w:left="1276" w:hanging="425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717DA49F" w14:textId="77777777" w:rsidR="003C5D9A" w:rsidRPr="000F270C" w:rsidRDefault="003C5D9A" w:rsidP="00F52927">
      <w:pPr>
        <w:numPr>
          <w:ilvl w:val="0"/>
          <w:numId w:val="57"/>
        </w:numPr>
        <w:ind w:left="1276" w:hanging="425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Wykonawca podając termin realizacji zamówienia powinien określić pełne dni kalendarzowe </w:t>
      </w: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potrzebne na zrealizowanie zamówienia, licząc od daty otrzymania zamówienia. </w:t>
      </w:r>
    </w:p>
    <w:p w14:paraId="7C216E41" w14:textId="77777777" w:rsidR="003C5D9A" w:rsidRPr="000F270C" w:rsidRDefault="003C5D9A" w:rsidP="00F52927">
      <w:pPr>
        <w:numPr>
          <w:ilvl w:val="0"/>
          <w:numId w:val="57"/>
        </w:numPr>
        <w:ind w:left="1134" w:hanging="283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lastRenderedPageBreak/>
        <w:t>W przypadku podania terminu w niepełnych dniach np. 10,5 dnia, Zamawiający do celów punktacji zaokrągli podany termin w górę do pełnych dni (np. podanie terminu 10,5 dni – Zamawiający zaokrągli termin w górę do 11 dni);</w:t>
      </w:r>
    </w:p>
    <w:p w14:paraId="31CFC1C5" w14:textId="31990C82" w:rsidR="009E363B" w:rsidRPr="000B1A68" w:rsidRDefault="000A37EA" w:rsidP="00037193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0B1A68">
        <w:rPr>
          <w:b/>
        </w:rPr>
        <w:t>;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32B96628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657596">
        <w:t xml:space="preserve">w </w:t>
      </w:r>
      <w:r w:rsidR="00227125">
        <w:t xml:space="preserve">zakresie danej części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144B8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144B8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144B8E">
      <w:pPr>
        <w:pStyle w:val="Nagwek2"/>
        <w:keepNext w:val="0"/>
        <w:widowControl w:val="0"/>
        <w:numPr>
          <w:ilvl w:val="0"/>
          <w:numId w:val="6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6A5E3531" w:rsidR="003636A2" w:rsidRPr="00334D54" w:rsidRDefault="003636A2" w:rsidP="00144B8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danej części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53BB0CD1" w:rsidR="003636A2" w:rsidRDefault="003636A2" w:rsidP="00144B8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144B8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144B8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1269699F" w:rsidR="00F85C46" w:rsidRDefault="00F85C46" w:rsidP="00144B8E">
      <w:pPr>
        <w:pStyle w:val="Nagwek3"/>
        <w:widowControl w:val="0"/>
        <w:numPr>
          <w:ilvl w:val="0"/>
          <w:numId w:val="62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7105A138" w14:textId="0006E4D9" w:rsidR="009442D3" w:rsidRDefault="009442D3" w:rsidP="009442D3">
      <w:pPr>
        <w:pStyle w:val="Tekstpodstawowy"/>
        <w:rPr>
          <w:lang w:val="pl-PL" w:eastAsia="x-none"/>
        </w:rPr>
      </w:pPr>
    </w:p>
    <w:p w14:paraId="238603EB" w14:textId="2B2E42E6" w:rsidR="009442D3" w:rsidRDefault="009442D3" w:rsidP="009442D3">
      <w:pPr>
        <w:pStyle w:val="Tekstpodstawowy"/>
        <w:rPr>
          <w:lang w:val="pl-PL" w:eastAsia="x-none"/>
        </w:rPr>
      </w:pPr>
    </w:p>
    <w:p w14:paraId="28C932F8" w14:textId="12137A79" w:rsidR="009442D3" w:rsidRDefault="009442D3" w:rsidP="009442D3">
      <w:pPr>
        <w:pStyle w:val="Tekstpodstawowy"/>
        <w:rPr>
          <w:lang w:val="pl-PL" w:eastAsia="x-none"/>
        </w:rPr>
      </w:pPr>
    </w:p>
    <w:p w14:paraId="5710C4DA" w14:textId="77777777" w:rsidR="009442D3" w:rsidRPr="009442D3" w:rsidRDefault="009442D3" w:rsidP="009442D3">
      <w:pPr>
        <w:pStyle w:val="Tekstpodstawowy"/>
        <w:rPr>
          <w:lang w:val="pl-PL" w:eastAsia="x-none"/>
        </w:rPr>
      </w:pPr>
    </w:p>
    <w:p w14:paraId="302F5894" w14:textId="510B492E" w:rsidR="00F85C46" w:rsidRPr="005B5BDF" w:rsidRDefault="00F85C46" w:rsidP="00144B8E">
      <w:pPr>
        <w:pStyle w:val="Nagwek1"/>
        <w:widowControl w:val="0"/>
        <w:spacing w:before="0"/>
      </w:pPr>
      <w:bookmarkStart w:id="29" w:name="_Toc99351191"/>
      <w:r w:rsidRPr="005B5BDF">
        <w:lastRenderedPageBreak/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9"/>
      <w:r w:rsidRPr="005B5BDF">
        <w:t xml:space="preserve"> </w:t>
      </w:r>
    </w:p>
    <w:p w14:paraId="46297F5C" w14:textId="77777777" w:rsidR="001A3180" w:rsidRPr="001A3180" w:rsidRDefault="001A3180" w:rsidP="00144B8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5D4D8070" w:rsidR="001A3180" w:rsidRP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danej części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144B8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144B8E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144B8E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144B8E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144B8E">
      <w:pPr>
        <w:pStyle w:val="Nagwek1"/>
        <w:widowControl w:val="0"/>
        <w:spacing w:before="0"/>
      </w:pPr>
      <w:bookmarkStart w:id="30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0"/>
    </w:p>
    <w:p w14:paraId="78D2F2E9" w14:textId="77777777" w:rsidR="00762B2C" w:rsidRPr="009B3970" w:rsidRDefault="00762B2C" w:rsidP="00144B8E">
      <w:pPr>
        <w:pStyle w:val="Nagwek2"/>
        <w:keepNext w:val="0"/>
        <w:widowControl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133FFD3C" w14:textId="70F0EA24" w:rsidR="00503851" w:rsidRPr="009442D3" w:rsidRDefault="00762B2C" w:rsidP="009442D3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65536674" w:rsidR="00762B2C" w:rsidRDefault="00762B2C" w:rsidP="00144B8E">
      <w:pPr>
        <w:pStyle w:val="Akapitzlist"/>
        <w:widowControl w:val="0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4B8E6840" w14:textId="58FD5007" w:rsidR="009442D3" w:rsidRDefault="009442D3" w:rsidP="009442D3">
      <w:pPr>
        <w:widowControl w:val="0"/>
        <w:ind w:left="0" w:firstLine="0"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08F402D3" w14:textId="77777777" w:rsidR="009442D3" w:rsidRPr="009442D3" w:rsidRDefault="009442D3" w:rsidP="009442D3">
      <w:pPr>
        <w:widowControl w:val="0"/>
        <w:ind w:left="0" w:firstLine="0"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lastRenderedPageBreak/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D1083">
      <w:pPr>
        <w:pStyle w:val="Nagwek1"/>
      </w:pPr>
      <w:bookmarkStart w:id="31" w:name="_Toc99351193"/>
      <w:r w:rsidRPr="005B5BDF">
        <w:t>Informacje dodatkowe.</w:t>
      </w:r>
      <w:bookmarkEnd w:id="31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0228ABF" w:rsidR="00BD1DFF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4C6C5762" w:rsidR="00F85C46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lastRenderedPageBreak/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59C46985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9442D3">
        <w:rPr>
          <w:b/>
          <w:lang w:val="pl-PL"/>
        </w:rPr>
        <w:t>76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7D40CC" w:rsidRPr="007D40CC">
        <w:rPr>
          <w:b/>
          <w:lang w:val="pl-PL"/>
        </w:rPr>
        <w:t>Dostawa switch</w:t>
      </w:r>
      <w:r w:rsidR="009442D3">
        <w:rPr>
          <w:b/>
          <w:lang w:val="pl-PL"/>
        </w:rPr>
        <w:t>a</w:t>
      </w:r>
      <w:r w:rsidR="007D40CC" w:rsidRPr="007D40CC">
        <w:rPr>
          <w:b/>
          <w:lang w:val="pl-PL"/>
        </w:rPr>
        <w:t xml:space="preserve"> i </w:t>
      </w:r>
      <w:r w:rsidR="007D40CC">
        <w:rPr>
          <w:b/>
          <w:lang w:val="pl-PL"/>
        </w:rPr>
        <w:t>router</w:t>
      </w:r>
      <w:r w:rsidR="009442D3">
        <w:rPr>
          <w:b/>
          <w:lang w:val="pl-PL"/>
        </w:rPr>
        <w:t>a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</w:t>
      </w:r>
      <w:r w:rsidRPr="005B5BDF">
        <w:lastRenderedPageBreak/>
        <w:t>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AC0560">
      <w:pPr>
        <w:numPr>
          <w:ilvl w:val="2"/>
          <w:numId w:val="6"/>
        </w:numPr>
        <w:tabs>
          <w:tab w:val="left" w:pos="142"/>
        </w:tabs>
        <w:ind w:left="1276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4E4B56C5" w:rsidR="00F85C46" w:rsidRPr="005B5BDF" w:rsidRDefault="0061008C" w:rsidP="00AC0560">
      <w:pPr>
        <w:pStyle w:val="Akapitzlist"/>
        <w:ind w:left="1560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AC0560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17222E7B" w:rsidR="0061008C" w:rsidRPr="005B5BDF" w:rsidRDefault="00AC0560" w:rsidP="00AC0560">
      <w:pPr>
        <w:pStyle w:val="Akapitzlist"/>
        <w:ind w:left="1560" w:hanging="426"/>
        <w:contextualSpacing w:val="0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       </w:t>
      </w:r>
      <w:r w:rsidR="0061008C"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AC0560">
      <w:pPr>
        <w:pStyle w:val="Akapitzlist"/>
        <w:ind w:left="1560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AC0560">
      <w:pPr>
        <w:ind w:left="1560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2E59268C" w:rsidR="00F85C46" w:rsidRPr="005B5BDF" w:rsidRDefault="00AC0560" w:rsidP="00AC0560">
      <w:pPr>
        <w:widowControl w:val="0"/>
        <w:ind w:left="1560" w:hanging="426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        </w:t>
      </w:r>
      <w:r w:rsidR="005D4855"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="005D4855"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</w:t>
      </w:r>
      <w:r w:rsidR="00504594">
        <w:rPr>
          <w:rFonts w:cs="Arial"/>
          <w:szCs w:val="20"/>
          <w:lang w:eastAsia="ar-SA"/>
        </w:rPr>
        <w:t xml:space="preserve">                   </w:t>
      </w:r>
      <w:r w:rsidR="003144B0" w:rsidRPr="005B5BDF">
        <w:rPr>
          <w:rFonts w:cs="Arial"/>
          <w:szCs w:val="20"/>
          <w:lang w:eastAsia="ar-SA"/>
        </w:rPr>
        <w:t>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AC0560">
      <w:pPr>
        <w:widowControl w:val="0"/>
        <w:ind w:left="1560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565F84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65F84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65F84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0D137288" w:rsidR="00F85C46" w:rsidRDefault="00CC1292" w:rsidP="00565F84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3E1D7717" w14:textId="0B6E833A" w:rsidR="003B44A1" w:rsidRDefault="003B44A1" w:rsidP="00565F84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</w:p>
    <w:p w14:paraId="29AD01B1" w14:textId="77777777" w:rsidR="003B44A1" w:rsidRDefault="003B44A1" w:rsidP="00565F84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lastRenderedPageBreak/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92079A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567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565ABA" w:rsidRDefault="00565AB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565ABA" w:rsidRDefault="00565AB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3D7E39D3" w:rsidR="00565ABA" w:rsidRPr="00901724" w:rsidRDefault="00565ABA" w:rsidP="00A80B1D">
        <w:pPr>
          <w:pStyle w:val="Stopka"/>
          <w:spacing w:before="12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5</w:t>
        </w:r>
      </w:p>
    </w:sdtContent>
  </w:sdt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565ABA" w:rsidRPr="00330722" w14:paraId="12B78683" w14:textId="77777777" w:rsidTr="00465C50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08DD6876" w14:textId="77777777" w:rsidR="00565ABA" w:rsidRPr="00330722" w:rsidRDefault="00565ABA" w:rsidP="00467620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30FD32E3" w14:textId="77777777" w:rsidR="00565ABA" w:rsidRPr="00556062" w:rsidRDefault="00565ABA" w:rsidP="00467620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C95F4E5" w14:textId="77777777" w:rsidR="00565ABA" w:rsidRPr="00330722" w:rsidRDefault="00565ABA" w:rsidP="0046762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FE0EB81" w14:textId="77777777" w:rsidR="00565ABA" w:rsidRPr="00330722" w:rsidRDefault="00565ABA" w:rsidP="0046762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25B0107B" wp14:editId="6E74FDB2">
                <wp:extent cx="2174562" cy="257175"/>
                <wp:effectExtent l="0" t="0" r="0" b="0"/>
                <wp:docPr id="64" name="Obraz 6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4B47D4B0" w:rsidR="00565ABA" w:rsidRPr="00ED1083" w:rsidRDefault="00565ABA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565ABA" w:rsidRPr="00330722" w14:paraId="2D1405EE" w14:textId="77777777" w:rsidTr="001D77E0">
      <w:trPr>
        <w:trHeight w:val="700"/>
        <w:jc w:val="center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5A6FD8B2" w14:textId="5D6E3FEB" w:rsidR="00565ABA" w:rsidRPr="00330722" w:rsidRDefault="00565ABA" w:rsidP="00467620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C0411E">
            <w:rPr>
              <w:noProof/>
              <w:sz w:val="16"/>
              <w:szCs w:val="16"/>
            </w:rPr>
            <w:drawing>
              <wp:anchor distT="0" distB="0" distL="114300" distR="114300" simplePos="0" relativeHeight="251656192" behindDoc="1" locked="0" layoutInCell="1" allowOverlap="1" wp14:anchorId="26BEB722" wp14:editId="5FBED8AA">
                <wp:simplePos x="0" y="0"/>
                <wp:positionH relativeFrom="page">
                  <wp:posOffset>5041265</wp:posOffset>
                </wp:positionH>
                <wp:positionV relativeFrom="page">
                  <wp:posOffset>9010650</wp:posOffset>
                </wp:positionV>
                <wp:extent cx="2292985" cy="1490345"/>
                <wp:effectExtent l="0" t="0" r="0" b="0"/>
                <wp:wrapNone/>
                <wp:docPr id="67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69669" t="860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2985" cy="1490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bookmarkStart w:id="34" w:name="_Hlk98499597"/>
          <w:bookmarkStart w:id="35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FD919C8" w14:textId="77777777" w:rsidR="00565ABA" w:rsidRPr="00556062" w:rsidRDefault="00565ABA" w:rsidP="00467620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6BEBD77" w14:textId="77777777" w:rsidR="00565ABA" w:rsidRPr="00330722" w:rsidRDefault="00565ABA" w:rsidP="0046762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2E772D5D" w14:textId="6D9906DD" w:rsidR="00565ABA" w:rsidRPr="00330722" w:rsidRDefault="00565ABA" w:rsidP="0046762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74343753" wp14:editId="57EC9E9D">
                <wp:extent cx="2174562" cy="257175"/>
                <wp:effectExtent l="0" t="0" r="0" b="0"/>
                <wp:docPr id="69" name="Obraz 6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34"/>
  <w:bookmarkEnd w:id="35"/>
  <w:p w14:paraId="0C986A56" w14:textId="22A94585" w:rsidR="00565ABA" w:rsidRPr="00F84EF3" w:rsidRDefault="00565ABA" w:rsidP="00095684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751259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44792B15" wp14:editId="69DC6268">
          <wp:simplePos x="0" y="0"/>
          <wp:positionH relativeFrom="page">
            <wp:posOffset>5128260</wp:posOffset>
          </wp:positionH>
          <wp:positionV relativeFrom="page">
            <wp:posOffset>9029700</wp:posOffset>
          </wp:positionV>
          <wp:extent cx="2292985" cy="1490345"/>
          <wp:effectExtent l="0" t="0" r="0" b="0"/>
          <wp:wrapNone/>
          <wp:docPr id="26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848" behindDoc="1" locked="0" layoutInCell="1" allowOverlap="1" wp14:anchorId="68E5A490" wp14:editId="58E32743">
          <wp:simplePos x="0" y="0"/>
          <wp:positionH relativeFrom="page">
            <wp:posOffset>-3810</wp:posOffset>
          </wp:positionH>
          <wp:positionV relativeFrom="page">
            <wp:posOffset>9758045</wp:posOffset>
          </wp:positionV>
          <wp:extent cx="3259455" cy="106680"/>
          <wp:effectExtent l="0" t="0" r="0" b="762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420F6" w14:textId="77777777" w:rsidR="00565ABA" w:rsidRPr="00602A59" w:rsidRDefault="00565ABA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0E14E4A" w14:textId="77777777" w:rsidR="00565ABA" w:rsidRPr="00602A59" w:rsidRDefault="00565ABA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E854D51" w14:textId="16CF59FD" w:rsidR="00565ABA" w:rsidRPr="00602A59" w:rsidRDefault="00565ABA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AF3ED7F" w14:textId="7A6003B8" w:rsidR="00565ABA" w:rsidRPr="00602A59" w:rsidRDefault="00565ABA" w:rsidP="00095684">
    <w:pPr>
      <w:pStyle w:val="Stopka"/>
      <w:tabs>
        <w:tab w:val="clear" w:pos="4536"/>
        <w:tab w:val="left" w:pos="3630"/>
        <w:tab w:val="left" w:pos="9072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7AEB0F81" w14:textId="77777777" w:rsidR="00565ABA" w:rsidRDefault="00607FFB" w:rsidP="00095684">
    <w:pPr>
      <w:pStyle w:val="Stopka"/>
      <w:ind w:left="0" w:firstLine="0"/>
      <w:rPr>
        <w:color w:val="002D59"/>
        <w:sz w:val="16"/>
        <w:szCs w:val="16"/>
      </w:rPr>
    </w:pPr>
    <w:hyperlink r:id="rId3" w:history="1">
      <w:r w:rsidR="00565ABA" w:rsidRPr="00E517F1">
        <w:rPr>
          <w:rStyle w:val="Hipercze"/>
          <w:sz w:val="16"/>
          <w:szCs w:val="16"/>
        </w:rPr>
        <w:t>www.</w:t>
      </w:r>
      <w:r w:rsidR="00565ABA" w:rsidRPr="00E517F1">
        <w:rPr>
          <w:rStyle w:val="Hipercze"/>
          <w:b/>
          <w:bCs/>
          <w:sz w:val="16"/>
          <w:szCs w:val="16"/>
        </w:rPr>
        <w:t>us.</w:t>
      </w:r>
      <w:r w:rsidR="00565ABA" w:rsidRPr="00E517F1">
        <w:rPr>
          <w:rStyle w:val="Hipercze"/>
          <w:sz w:val="16"/>
          <w:szCs w:val="16"/>
        </w:rPr>
        <w:t>edu.pl</w:t>
      </w:r>
    </w:hyperlink>
  </w:p>
  <w:p w14:paraId="085946A1" w14:textId="77777777" w:rsidR="00565ABA" w:rsidRDefault="00565ABA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565ABA" w:rsidRDefault="00565ABA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565ABA" w:rsidRDefault="00565AB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0A204" w14:textId="77777777" w:rsidR="00565ABA" w:rsidRDefault="00565ABA" w:rsidP="00467620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03EC9E20" wp14:editId="277ADA50">
          <wp:extent cx="5755005" cy="420370"/>
          <wp:effectExtent l="0" t="0" r="0" b="0"/>
          <wp:docPr id="63" name="Obraz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743E89" w14:textId="77777777" w:rsidR="00565ABA" w:rsidRDefault="00565ABA" w:rsidP="00467620">
    <w:pPr>
      <w:pStyle w:val="Nagwek"/>
      <w:ind w:left="0" w:firstLine="0"/>
    </w:pPr>
  </w:p>
  <w:p w14:paraId="268FC166" w14:textId="77777777" w:rsidR="00565ABA" w:rsidRPr="00195FAD" w:rsidRDefault="00565ABA" w:rsidP="00467620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73FB1F4C" w14:textId="77777777" w:rsidR="00565ABA" w:rsidRPr="003E6287" w:rsidRDefault="00565ABA" w:rsidP="00467620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</w:p>
  <w:p w14:paraId="348E78B5" w14:textId="77777777" w:rsidR="00565ABA" w:rsidRDefault="00565A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A4E50" w14:textId="77777777" w:rsidR="00565ABA" w:rsidRDefault="00565AB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2" w:name="_Hlk109991209"/>
    <w:bookmarkStart w:id="33" w:name="_Hlk109991210"/>
  </w:p>
  <w:p w14:paraId="75654D78" w14:textId="77777777" w:rsidR="00565ABA" w:rsidRDefault="00565AB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78D47F0F" w14:textId="77777777" w:rsidR="00565ABA" w:rsidRDefault="00565AB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33DE1B6A" w14:textId="77777777" w:rsidR="00565ABA" w:rsidRDefault="00565AB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0F68D6A8" w14:textId="77777777" w:rsidR="00565ABA" w:rsidRDefault="00565AB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3FF9E0F" w14:textId="77777777" w:rsidR="00565ABA" w:rsidRDefault="00565ABA" w:rsidP="00467620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1645F89F" wp14:editId="155F99EC">
          <wp:extent cx="5755005" cy="420370"/>
          <wp:effectExtent l="0" t="0" r="0" b="0"/>
          <wp:docPr id="65" name="Obraz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E57F9A" w14:textId="77777777" w:rsidR="00565ABA" w:rsidRPr="00195FAD" w:rsidRDefault="00565ABA" w:rsidP="00467620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6059B8D5" w14:textId="7E6CAE12" w:rsidR="00565ABA" w:rsidRPr="0092079A" w:rsidRDefault="00565ABA" w:rsidP="0092079A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51A96193" wp14:editId="61ED555C">
          <wp:simplePos x="0" y="0"/>
          <wp:positionH relativeFrom="page">
            <wp:posOffset>70485</wp:posOffset>
          </wp:positionH>
          <wp:positionV relativeFrom="page">
            <wp:posOffset>-384175</wp:posOffset>
          </wp:positionV>
          <wp:extent cx="7559675" cy="1181100"/>
          <wp:effectExtent l="0" t="0" r="3175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2"/>
    <w:bookmarkEnd w:id="3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6ACC7800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0426A5D0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B022B"/>
    <w:multiLevelType w:val="hybridMultilevel"/>
    <w:tmpl w:val="C390DEC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7A52CC"/>
    <w:multiLevelType w:val="hybridMultilevel"/>
    <w:tmpl w:val="0F92CE6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6"/>
  </w:num>
  <w:num w:numId="5">
    <w:abstractNumId w:val="15"/>
  </w:num>
  <w:num w:numId="6">
    <w:abstractNumId w:val="23"/>
  </w:num>
  <w:num w:numId="7">
    <w:abstractNumId w:val="9"/>
  </w:num>
  <w:num w:numId="8">
    <w:abstractNumId w:val="4"/>
  </w:num>
  <w:num w:numId="9">
    <w:abstractNumId w:val="4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4"/>
    <w:lvlOverride w:ilvl="0">
      <w:startOverride w:val="2"/>
    </w:lvlOverride>
  </w:num>
  <w:num w:numId="16">
    <w:abstractNumId w:val="4"/>
    <w:lvlOverride w:ilvl="0">
      <w:startOverride w:val="1"/>
    </w:lvlOverride>
  </w:num>
  <w:num w:numId="17">
    <w:abstractNumId w:val="18"/>
    <w:lvlOverride w:ilvl="0">
      <w:startOverride w:val="1"/>
    </w:lvlOverride>
  </w:num>
  <w:num w:numId="18">
    <w:abstractNumId w:val="18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18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2"/>
    </w:lvlOverride>
  </w:num>
  <w:num w:numId="30">
    <w:abstractNumId w:val="8"/>
  </w:num>
  <w:num w:numId="31">
    <w:abstractNumId w:val="18"/>
  </w:num>
  <w:num w:numId="32">
    <w:abstractNumId w:val="4"/>
    <w:lvlOverride w:ilvl="0">
      <w:startOverride w:val="1"/>
    </w:lvlOverride>
  </w:num>
  <w:num w:numId="33">
    <w:abstractNumId w:val="9"/>
  </w:num>
  <w:num w:numId="34">
    <w:abstractNumId w:val="4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14"/>
  </w:num>
  <w:num w:numId="39">
    <w:abstractNumId w:val="4"/>
    <w:lvlOverride w:ilvl="0">
      <w:startOverride w:val="1"/>
    </w:lvlOverride>
  </w:num>
  <w:num w:numId="40">
    <w:abstractNumId w:val="18"/>
    <w:lvlOverride w:ilvl="0">
      <w:startOverride w:val="1"/>
    </w:lvlOverride>
  </w:num>
  <w:num w:numId="41">
    <w:abstractNumId w:val="18"/>
    <w:lvlOverride w:ilvl="0">
      <w:startOverride w:val="1"/>
    </w:lvlOverride>
  </w:num>
  <w:num w:numId="42">
    <w:abstractNumId w:val="4"/>
    <w:lvlOverride w:ilvl="0">
      <w:startOverride w:val="1"/>
    </w:lvlOverride>
  </w:num>
  <w:num w:numId="43">
    <w:abstractNumId w:val="18"/>
    <w:lvlOverride w:ilvl="0">
      <w:startOverride w:val="1"/>
    </w:lvlOverride>
  </w:num>
  <w:num w:numId="44">
    <w:abstractNumId w:val="4"/>
    <w:lvlOverride w:ilvl="0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9"/>
    <w:lvlOverride w:ilvl="0">
      <w:startOverride w:val="1"/>
    </w:lvlOverride>
  </w:num>
  <w:num w:numId="47">
    <w:abstractNumId w:val="0"/>
  </w:num>
  <w:num w:numId="48">
    <w:abstractNumId w:val="12"/>
  </w:num>
  <w:num w:numId="49">
    <w:abstractNumId w:val="5"/>
  </w:num>
  <w:num w:numId="50">
    <w:abstractNumId w:val="9"/>
    <w:lvlOverride w:ilvl="0">
      <w:startOverride w:val="1"/>
    </w:lvlOverride>
  </w:num>
  <w:num w:numId="51">
    <w:abstractNumId w:val="6"/>
  </w:num>
  <w:num w:numId="52">
    <w:abstractNumId w:val="20"/>
  </w:num>
  <w:num w:numId="53">
    <w:abstractNumId w:val="2"/>
  </w:num>
  <w:num w:numId="54">
    <w:abstractNumId w:val="9"/>
    <w:lvlOverride w:ilvl="0">
      <w:startOverride w:val="1"/>
    </w:lvlOverride>
  </w:num>
  <w:num w:numId="55">
    <w:abstractNumId w:val="18"/>
    <w:lvlOverride w:ilvl="0">
      <w:startOverride w:val="1"/>
    </w:lvlOverride>
  </w:num>
  <w:num w:numId="56">
    <w:abstractNumId w:val="19"/>
  </w:num>
  <w:num w:numId="57">
    <w:abstractNumId w:val="1"/>
  </w:num>
  <w:num w:numId="58">
    <w:abstractNumId w:val="21"/>
  </w:num>
  <w:num w:numId="59">
    <w:abstractNumId w:val="25"/>
  </w:num>
  <w:num w:numId="60">
    <w:abstractNumId w:val="26"/>
  </w:num>
  <w:num w:numId="61">
    <w:abstractNumId w:val="7"/>
  </w:num>
  <w:num w:numId="62">
    <w:abstractNumId w:val="27"/>
  </w:num>
  <w:num w:numId="63">
    <w:abstractNumId w:val="24"/>
  </w:num>
  <w:num w:numId="64">
    <w:abstractNumId w:val="17"/>
  </w:num>
  <w:num w:numId="65">
    <w:abstractNumId w:val="3"/>
  </w:num>
  <w:num w:numId="66">
    <w:abstractNumId w:val="22"/>
  </w:num>
  <w:num w:numId="67">
    <w:abstractNumId w:val="2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84B76"/>
    <w:rsid w:val="000906ED"/>
    <w:rsid w:val="00095684"/>
    <w:rsid w:val="00096054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41DDE"/>
    <w:rsid w:val="00144B8E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6280F"/>
    <w:rsid w:val="00170642"/>
    <w:rsid w:val="00173E98"/>
    <w:rsid w:val="001769D9"/>
    <w:rsid w:val="001814C5"/>
    <w:rsid w:val="00184497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3DAB"/>
    <w:rsid w:val="001A761D"/>
    <w:rsid w:val="001A7E1C"/>
    <w:rsid w:val="001B1AC0"/>
    <w:rsid w:val="001B6A6B"/>
    <w:rsid w:val="001C43D0"/>
    <w:rsid w:val="001D0571"/>
    <w:rsid w:val="001D05CD"/>
    <w:rsid w:val="001D0AD6"/>
    <w:rsid w:val="001D3915"/>
    <w:rsid w:val="001D40CF"/>
    <w:rsid w:val="001D77E0"/>
    <w:rsid w:val="001E10FA"/>
    <w:rsid w:val="001E144B"/>
    <w:rsid w:val="001E5A79"/>
    <w:rsid w:val="001F07CA"/>
    <w:rsid w:val="001F5B52"/>
    <w:rsid w:val="001F63FD"/>
    <w:rsid w:val="00200A27"/>
    <w:rsid w:val="002013DC"/>
    <w:rsid w:val="00201B3C"/>
    <w:rsid w:val="00204EFA"/>
    <w:rsid w:val="00213D90"/>
    <w:rsid w:val="00214CE5"/>
    <w:rsid w:val="002212A7"/>
    <w:rsid w:val="00221638"/>
    <w:rsid w:val="00226310"/>
    <w:rsid w:val="00227125"/>
    <w:rsid w:val="002278D2"/>
    <w:rsid w:val="00230DE9"/>
    <w:rsid w:val="002318AB"/>
    <w:rsid w:val="00231C06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5E46"/>
    <w:rsid w:val="00286153"/>
    <w:rsid w:val="00297357"/>
    <w:rsid w:val="002976DF"/>
    <w:rsid w:val="00297EB3"/>
    <w:rsid w:val="002A3574"/>
    <w:rsid w:val="002A3576"/>
    <w:rsid w:val="002A4316"/>
    <w:rsid w:val="002A50F6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D273D"/>
    <w:rsid w:val="002D2F12"/>
    <w:rsid w:val="002D38E0"/>
    <w:rsid w:val="002D64F0"/>
    <w:rsid w:val="002E4CF0"/>
    <w:rsid w:val="002E7A53"/>
    <w:rsid w:val="002F2988"/>
    <w:rsid w:val="002F4A6A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245CD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47ADD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6643A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44EC"/>
    <w:rsid w:val="003950B2"/>
    <w:rsid w:val="00396869"/>
    <w:rsid w:val="003A026D"/>
    <w:rsid w:val="003A0DD4"/>
    <w:rsid w:val="003A6576"/>
    <w:rsid w:val="003B293E"/>
    <w:rsid w:val="003B3416"/>
    <w:rsid w:val="003B44A1"/>
    <w:rsid w:val="003C094D"/>
    <w:rsid w:val="003C0C2B"/>
    <w:rsid w:val="003C28F4"/>
    <w:rsid w:val="003C3587"/>
    <w:rsid w:val="003C3AC5"/>
    <w:rsid w:val="003C461B"/>
    <w:rsid w:val="003C53A8"/>
    <w:rsid w:val="003C5D9A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516FA"/>
    <w:rsid w:val="00455B33"/>
    <w:rsid w:val="00455E04"/>
    <w:rsid w:val="00457D79"/>
    <w:rsid w:val="00465C50"/>
    <w:rsid w:val="0046749E"/>
    <w:rsid w:val="00467620"/>
    <w:rsid w:val="00467882"/>
    <w:rsid w:val="00470C6B"/>
    <w:rsid w:val="00471B27"/>
    <w:rsid w:val="0047356A"/>
    <w:rsid w:val="00473D30"/>
    <w:rsid w:val="00473F6B"/>
    <w:rsid w:val="00475AAC"/>
    <w:rsid w:val="00477FA3"/>
    <w:rsid w:val="00480B34"/>
    <w:rsid w:val="00481E07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97D90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5927"/>
    <w:rsid w:val="004F634F"/>
    <w:rsid w:val="004F683C"/>
    <w:rsid w:val="004F77CC"/>
    <w:rsid w:val="00503851"/>
    <w:rsid w:val="00504594"/>
    <w:rsid w:val="005149DB"/>
    <w:rsid w:val="00515101"/>
    <w:rsid w:val="00520A41"/>
    <w:rsid w:val="00526131"/>
    <w:rsid w:val="00530CAA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65ABA"/>
    <w:rsid w:val="00565F84"/>
    <w:rsid w:val="00575EC4"/>
    <w:rsid w:val="005766D5"/>
    <w:rsid w:val="00584E90"/>
    <w:rsid w:val="00586657"/>
    <w:rsid w:val="00587476"/>
    <w:rsid w:val="00590944"/>
    <w:rsid w:val="00593C25"/>
    <w:rsid w:val="00594E26"/>
    <w:rsid w:val="005968E9"/>
    <w:rsid w:val="005A065D"/>
    <w:rsid w:val="005A19CF"/>
    <w:rsid w:val="005A269D"/>
    <w:rsid w:val="005A5BA2"/>
    <w:rsid w:val="005B1032"/>
    <w:rsid w:val="005B1097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1C"/>
    <w:rsid w:val="005E7B56"/>
    <w:rsid w:val="005F0C33"/>
    <w:rsid w:val="005F2A5F"/>
    <w:rsid w:val="005F3A4A"/>
    <w:rsid w:val="0060087D"/>
    <w:rsid w:val="006013D3"/>
    <w:rsid w:val="00602A59"/>
    <w:rsid w:val="00603309"/>
    <w:rsid w:val="00603445"/>
    <w:rsid w:val="00604E32"/>
    <w:rsid w:val="00607FFB"/>
    <w:rsid w:val="0061008C"/>
    <w:rsid w:val="00610A45"/>
    <w:rsid w:val="00614792"/>
    <w:rsid w:val="0061721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26C5"/>
    <w:rsid w:val="0068625C"/>
    <w:rsid w:val="00687243"/>
    <w:rsid w:val="006873D8"/>
    <w:rsid w:val="006911E1"/>
    <w:rsid w:val="0069154A"/>
    <w:rsid w:val="00692680"/>
    <w:rsid w:val="0069426A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2BD2"/>
    <w:rsid w:val="006D3219"/>
    <w:rsid w:val="006D37E6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27461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049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325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40CC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7191"/>
    <w:rsid w:val="007F728E"/>
    <w:rsid w:val="00801093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73DD6"/>
    <w:rsid w:val="00876189"/>
    <w:rsid w:val="00877825"/>
    <w:rsid w:val="00883972"/>
    <w:rsid w:val="00884A25"/>
    <w:rsid w:val="00886073"/>
    <w:rsid w:val="00891B36"/>
    <w:rsid w:val="00891C1C"/>
    <w:rsid w:val="00896AA9"/>
    <w:rsid w:val="008974DB"/>
    <w:rsid w:val="008A30C3"/>
    <w:rsid w:val="008A431F"/>
    <w:rsid w:val="008A72DD"/>
    <w:rsid w:val="008B0002"/>
    <w:rsid w:val="008B6820"/>
    <w:rsid w:val="008B7428"/>
    <w:rsid w:val="008C0FA1"/>
    <w:rsid w:val="008D0712"/>
    <w:rsid w:val="008D2094"/>
    <w:rsid w:val="008D5E0B"/>
    <w:rsid w:val="008D6FBC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079A"/>
    <w:rsid w:val="00923402"/>
    <w:rsid w:val="00924D2D"/>
    <w:rsid w:val="00925D6B"/>
    <w:rsid w:val="009263C3"/>
    <w:rsid w:val="00927660"/>
    <w:rsid w:val="00930A3B"/>
    <w:rsid w:val="00932595"/>
    <w:rsid w:val="0093436C"/>
    <w:rsid w:val="00934D7C"/>
    <w:rsid w:val="00942EA5"/>
    <w:rsid w:val="009442D3"/>
    <w:rsid w:val="00947ED0"/>
    <w:rsid w:val="00950990"/>
    <w:rsid w:val="009529BD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233A"/>
    <w:rsid w:val="009A3127"/>
    <w:rsid w:val="009A4890"/>
    <w:rsid w:val="009A55D3"/>
    <w:rsid w:val="009A69DA"/>
    <w:rsid w:val="009A798F"/>
    <w:rsid w:val="009A7AB0"/>
    <w:rsid w:val="009B23B6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23C51"/>
    <w:rsid w:val="00A2561E"/>
    <w:rsid w:val="00A26D36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0B1D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0560"/>
    <w:rsid w:val="00AC2BC6"/>
    <w:rsid w:val="00AC4774"/>
    <w:rsid w:val="00AD1DEF"/>
    <w:rsid w:val="00AD47FC"/>
    <w:rsid w:val="00AD4C8A"/>
    <w:rsid w:val="00AD7B52"/>
    <w:rsid w:val="00AE0D46"/>
    <w:rsid w:val="00AE0FC0"/>
    <w:rsid w:val="00AE25F1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98B"/>
    <w:rsid w:val="00B15A1F"/>
    <w:rsid w:val="00B15A5E"/>
    <w:rsid w:val="00B16121"/>
    <w:rsid w:val="00B16EC9"/>
    <w:rsid w:val="00B173C4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3B67"/>
    <w:rsid w:val="00B75EAD"/>
    <w:rsid w:val="00B7608D"/>
    <w:rsid w:val="00B76598"/>
    <w:rsid w:val="00B77470"/>
    <w:rsid w:val="00B80A4E"/>
    <w:rsid w:val="00B82F36"/>
    <w:rsid w:val="00B83965"/>
    <w:rsid w:val="00B8505A"/>
    <w:rsid w:val="00B9221C"/>
    <w:rsid w:val="00B9344D"/>
    <w:rsid w:val="00B945EF"/>
    <w:rsid w:val="00B947E3"/>
    <w:rsid w:val="00BA153A"/>
    <w:rsid w:val="00BA2090"/>
    <w:rsid w:val="00BA4B90"/>
    <w:rsid w:val="00BA4C2B"/>
    <w:rsid w:val="00BA4FE0"/>
    <w:rsid w:val="00BA558B"/>
    <w:rsid w:val="00BA58BC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D60B2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57AEB"/>
    <w:rsid w:val="00C60D12"/>
    <w:rsid w:val="00C60D32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6A5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19A"/>
    <w:rsid w:val="00CC1292"/>
    <w:rsid w:val="00CC568A"/>
    <w:rsid w:val="00CC61CB"/>
    <w:rsid w:val="00CD1205"/>
    <w:rsid w:val="00CD1C73"/>
    <w:rsid w:val="00CD2A5D"/>
    <w:rsid w:val="00CD4EBF"/>
    <w:rsid w:val="00CD6350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1C5"/>
    <w:rsid w:val="00D11B81"/>
    <w:rsid w:val="00D1418B"/>
    <w:rsid w:val="00D14B40"/>
    <w:rsid w:val="00D16DA4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283F"/>
    <w:rsid w:val="00DA4419"/>
    <w:rsid w:val="00DA4BF1"/>
    <w:rsid w:val="00DA6AE3"/>
    <w:rsid w:val="00DA6B21"/>
    <w:rsid w:val="00DA74F9"/>
    <w:rsid w:val="00DB17BD"/>
    <w:rsid w:val="00DB2334"/>
    <w:rsid w:val="00DB2460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74FD"/>
    <w:rsid w:val="00DD0499"/>
    <w:rsid w:val="00DD1CDA"/>
    <w:rsid w:val="00DD39E3"/>
    <w:rsid w:val="00DD424D"/>
    <w:rsid w:val="00DD537C"/>
    <w:rsid w:val="00DE1639"/>
    <w:rsid w:val="00DE5458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754"/>
    <w:rsid w:val="00E4599A"/>
    <w:rsid w:val="00E45B2F"/>
    <w:rsid w:val="00E50E74"/>
    <w:rsid w:val="00E51823"/>
    <w:rsid w:val="00E5533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36CA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10A86"/>
    <w:rsid w:val="00F10C74"/>
    <w:rsid w:val="00F12854"/>
    <w:rsid w:val="00F1351F"/>
    <w:rsid w:val="00F14EB0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37AF3"/>
    <w:rsid w:val="00F41610"/>
    <w:rsid w:val="00F43774"/>
    <w:rsid w:val="00F46566"/>
    <w:rsid w:val="00F47A89"/>
    <w:rsid w:val="00F47E48"/>
    <w:rsid w:val="00F50F25"/>
    <w:rsid w:val="00F52927"/>
    <w:rsid w:val="00F54060"/>
    <w:rsid w:val="00F57C56"/>
    <w:rsid w:val="00F62027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2D81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8E0DD-63C1-47AE-A3DE-16BB4F3E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25</Pages>
  <Words>9073</Words>
  <Characters>54438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685</cp:revision>
  <cp:lastPrinted>2024-08-21T07:12:00Z</cp:lastPrinted>
  <dcterms:created xsi:type="dcterms:W3CDTF">2021-02-03T06:43:00Z</dcterms:created>
  <dcterms:modified xsi:type="dcterms:W3CDTF">2024-08-23T10:33:00Z</dcterms:modified>
</cp:coreProperties>
</file>