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455E3CF1" w:rsidR="00C91065" w:rsidRPr="00742526" w:rsidRDefault="00D55D89" w:rsidP="00742526">
      <w:pPr>
        <w:pStyle w:val="Nagwek3"/>
        <w:spacing w:before="0" w:after="0"/>
        <w:rPr>
          <w:smallCaps/>
          <w:sz w:val="20"/>
          <w:szCs w:val="20"/>
        </w:rPr>
      </w:pPr>
      <w:r w:rsidRPr="00742526">
        <w:rPr>
          <w:smallCaps/>
          <w:sz w:val="20"/>
          <w:szCs w:val="20"/>
        </w:rPr>
        <w:t xml:space="preserve">ZAŁĄCZNIK NR </w:t>
      </w:r>
      <w:r w:rsidR="0059651C">
        <w:rPr>
          <w:smallCaps/>
          <w:sz w:val="20"/>
          <w:szCs w:val="20"/>
        </w:rPr>
        <w:t>3</w:t>
      </w:r>
      <w:r w:rsidRPr="00742526">
        <w:rPr>
          <w:smallCaps/>
          <w:sz w:val="20"/>
          <w:szCs w:val="20"/>
        </w:rPr>
        <w:t xml:space="preserve"> DO SWZ</w:t>
      </w:r>
    </w:p>
    <w:p w14:paraId="44060002" w14:textId="3B488144" w:rsidR="00312CC4" w:rsidRPr="00C523C4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523C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C523C4">
        <w:rPr>
          <w:rFonts w:ascii="Arial" w:eastAsia="Calibri" w:hAnsi="Arial" w:cs="Arial"/>
          <w:b/>
          <w:bCs/>
          <w:sz w:val="20"/>
          <w:szCs w:val="20"/>
        </w:rPr>
        <w:t xml:space="preserve"> 13/ROUTERY</w:t>
      </w:r>
      <w:r w:rsidRPr="00C523C4">
        <w:rPr>
          <w:rFonts w:ascii="Arial" w:eastAsia="Calibri" w:hAnsi="Arial" w:cs="Arial"/>
          <w:b/>
          <w:bCs/>
          <w:sz w:val="20"/>
          <w:szCs w:val="20"/>
        </w:rPr>
        <w:t>202</w:t>
      </w:r>
      <w:r w:rsidR="001B7C8D" w:rsidRPr="00C523C4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353B2119" w14:textId="77777777" w:rsidR="00D55D89" w:rsidRPr="00C523C4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C523C4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C523C4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C523C4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C523C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Nazwa (Firma) Wykonawcy –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Adres siedziby –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C523C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C523C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C523C4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Tel. - 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C523C4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C523C4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E-mail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C523C4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NIP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C523C4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REGON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C523C4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C523C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Województwo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Pr="00C523C4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C523C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C523C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C523C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C523C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C523C4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4ACE00E0" w:rsidR="00D55D89" w:rsidRPr="00493BC3" w:rsidRDefault="00312CC4" w:rsidP="00493BC3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C523C4">
        <w:rPr>
          <w:rFonts w:ascii="Arial" w:hAnsi="Arial" w:cs="Arial"/>
          <w:bCs/>
          <w:sz w:val="20"/>
          <w:szCs w:val="20"/>
        </w:rPr>
        <w:t>ę</w:t>
      </w:r>
      <w:r w:rsidRPr="00C523C4">
        <w:rPr>
          <w:rFonts w:ascii="Arial" w:hAnsi="Arial" w:cs="Arial"/>
          <w:bCs/>
          <w:sz w:val="20"/>
          <w:szCs w:val="20"/>
        </w:rPr>
        <w:t xml:space="preserve">powaniu o udzielenie zamówienia publicznego, prowadzonego w trybie podstawowym bez możliwości negocjacji (art. 275 pkt. 1) składam ofertę </w:t>
      </w:r>
      <w:bookmarkStart w:id="0" w:name="_Hlk138935637"/>
      <w:bookmarkStart w:id="1" w:name="_Hlk138675555"/>
      <w:r w:rsidR="00493BC3" w:rsidRPr="00493BC3">
        <w:rPr>
          <w:rFonts w:ascii="Arial" w:hAnsi="Arial" w:cs="Arial"/>
          <w:b/>
          <w:sz w:val="20"/>
          <w:szCs w:val="20"/>
        </w:rPr>
        <w:t xml:space="preserve">„Zakup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PA-440</w:t>
      </w:r>
      <w:bookmarkEnd w:id="0"/>
      <w:r w:rsidR="00493BC3" w:rsidRPr="00493BC3">
        <w:rPr>
          <w:rFonts w:ascii="Arial" w:hAnsi="Arial" w:cs="Arial"/>
          <w:b/>
          <w:sz w:val="20"/>
          <w:szCs w:val="20"/>
        </w:rPr>
        <w:t xml:space="preserve"> z licencjami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oraz 1</w:t>
      </w:r>
      <w:r w:rsidR="0010252D">
        <w:rPr>
          <w:rFonts w:ascii="Arial" w:hAnsi="Arial" w:cs="Arial"/>
          <w:b/>
          <w:sz w:val="20"/>
          <w:szCs w:val="20"/>
        </w:rPr>
        <w:t>1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 licencji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do posiadanych urządzeń PA-440</w:t>
      </w:r>
      <w:r w:rsidR="00493BC3" w:rsidRPr="00493BC3">
        <w:rPr>
          <w:rFonts w:ascii="Arial" w:hAnsi="Arial" w:cs="Arial"/>
          <w:b/>
          <w:i/>
          <w:sz w:val="20"/>
          <w:szCs w:val="20"/>
        </w:rPr>
        <w:t xml:space="preserve"> (część nr 1), 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i licencjami (ilość szt. 3) oraz punktów dostępowych z licencjami (ilość szt. 15) </w:t>
      </w:r>
      <w:r w:rsidR="00493BC3" w:rsidRPr="00493BC3">
        <w:rPr>
          <w:rFonts w:ascii="Arial" w:hAnsi="Arial" w:cs="Arial"/>
          <w:b/>
          <w:i/>
          <w:sz w:val="20"/>
          <w:szCs w:val="20"/>
        </w:rPr>
        <w:t>(część 2)</w:t>
      </w:r>
      <w:bookmarkEnd w:id="1"/>
      <w:r w:rsidR="00C523C4" w:rsidRPr="00493BC3">
        <w:rPr>
          <w:rFonts w:ascii="Arial" w:hAnsi="Arial" w:cs="Arial"/>
          <w:b/>
          <w:bCs/>
          <w:i/>
          <w:sz w:val="20"/>
          <w:szCs w:val="20"/>
        </w:rPr>
        <w:t>”.</w:t>
      </w:r>
    </w:p>
    <w:p w14:paraId="24A026A4" w14:textId="77777777" w:rsidR="004274CE" w:rsidRPr="00493BC3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EE6869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C523C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C523C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C523C4">
        <w:rPr>
          <w:rFonts w:ascii="Arial" w:hAnsi="Arial" w:cs="Arial"/>
          <w:spacing w:val="4"/>
          <w:sz w:val="20"/>
          <w:szCs w:val="20"/>
        </w:rPr>
        <w:t>zę</w:t>
      </w:r>
      <w:r w:rsidRPr="00C523C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C523C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EE6869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E4644D0" w14:textId="77777777" w:rsidR="00EE6869" w:rsidRPr="00C523C4" w:rsidRDefault="00EE6869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C523C4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23C4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C523C4">
        <w:rPr>
          <w:rFonts w:ascii="Arial" w:hAnsi="Arial" w:cs="Arial"/>
          <w:sz w:val="20"/>
          <w:szCs w:val="20"/>
          <w:u w:val="single"/>
        </w:rPr>
        <w:t>dwie</w:t>
      </w:r>
      <w:r w:rsidRPr="00C523C4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B2ED028" w14:textId="412EF8BC" w:rsidR="00755CD1" w:rsidRPr="00C523C4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sz w:val="20"/>
        </w:rPr>
      </w:pPr>
      <w:r w:rsidRPr="00C523C4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C523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2" w:name="_Hlk131404486"/>
      <w:r w:rsidR="00493BC3" w:rsidRPr="00493BC3">
        <w:rPr>
          <w:rFonts w:ascii="Arial" w:hAnsi="Arial" w:cs="Arial"/>
          <w:b/>
          <w:sz w:val="20"/>
          <w:szCs w:val="20"/>
        </w:rPr>
        <w:t xml:space="preserve">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PA-440 z licencjami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oraz 12 licencji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do posiadanych urządzeń PA-440</w:t>
      </w:r>
      <w:bookmarkEnd w:id="2"/>
    </w:p>
    <w:p w14:paraId="34FCCDDF" w14:textId="42C59066" w:rsidR="00363A99" w:rsidRPr="00C523C4" w:rsidRDefault="001F58D1" w:rsidP="00C523C4">
      <w:pPr>
        <w:spacing w:line="312" w:lineRule="auto"/>
        <w:jc w:val="both"/>
        <w:rPr>
          <w:rFonts w:ascii="Arial" w:hAnsi="Arial" w:cs="Arial"/>
          <w:b/>
          <w:i/>
          <w:sz w:val="20"/>
        </w:rPr>
      </w:pPr>
      <w:r w:rsidRPr="00C523C4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C523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i licencjami (ilość szt. 3) oraz punktów dostępowych z licencjami (ilość szt. 15)</w:t>
      </w:r>
    </w:p>
    <w:p w14:paraId="2DBB8C4D" w14:textId="77777777" w:rsidR="00C523C4" w:rsidRPr="00C523C4" w:rsidRDefault="00C523C4" w:rsidP="00C523C4">
      <w:pPr>
        <w:spacing w:line="312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5C6D8C" w14:textId="077A079A" w:rsidR="00312CC4" w:rsidRPr="00370211" w:rsidRDefault="00312CC4" w:rsidP="00370211">
      <w:pPr>
        <w:pStyle w:val="Akapitzlist"/>
        <w:numPr>
          <w:ilvl w:val="0"/>
          <w:numId w:val="6"/>
        </w:numPr>
        <w:tabs>
          <w:tab w:val="clear" w:pos="360"/>
        </w:tabs>
        <w:spacing w:after="24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370211">
        <w:rPr>
          <w:rFonts w:ascii="Arial" w:eastAsia="Calibri" w:hAnsi="Arial" w:cs="Arial"/>
          <w:b/>
          <w:bCs/>
          <w:sz w:val="22"/>
          <w:u w:val="single"/>
        </w:rPr>
        <w:t>Oferuj</w:t>
      </w:r>
      <w:r w:rsidR="006B5389" w:rsidRPr="00370211">
        <w:rPr>
          <w:rFonts w:ascii="Arial" w:eastAsia="Calibri" w:hAnsi="Arial" w:cs="Arial"/>
          <w:b/>
          <w:bCs/>
          <w:sz w:val="22"/>
          <w:u w:val="single"/>
        </w:rPr>
        <w:t>ę</w:t>
      </w:r>
      <w:r w:rsidRPr="00370211">
        <w:rPr>
          <w:rFonts w:ascii="Arial" w:eastAsia="Calibri" w:hAnsi="Arial" w:cs="Arial"/>
          <w:b/>
          <w:bCs/>
          <w:sz w:val="22"/>
          <w:u w:val="single"/>
        </w:rPr>
        <w:t xml:space="preserve"> realizację zamówienia</w:t>
      </w:r>
      <w:r w:rsidR="001F58D1" w:rsidRPr="00370211">
        <w:rPr>
          <w:rFonts w:ascii="Arial" w:eastAsia="Calibri" w:hAnsi="Arial" w:cs="Arial"/>
          <w:b/>
          <w:bCs/>
          <w:sz w:val="22"/>
          <w:u w:val="single"/>
        </w:rPr>
        <w:t xml:space="preserve"> dla części nr </w:t>
      </w:r>
      <w:r w:rsidR="001F58D1" w:rsidRPr="00370211">
        <w:rPr>
          <w:rFonts w:ascii="Arial" w:eastAsia="Calibri" w:hAnsi="Arial" w:cs="Arial"/>
          <w:b/>
          <w:bCs/>
          <w:sz w:val="22"/>
          <w:highlight w:val="lightGray"/>
          <w:u w:val="single"/>
        </w:rPr>
        <w:t>…………….</w:t>
      </w:r>
      <w:r w:rsidR="001E1887" w:rsidRPr="00370211">
        <w:rPr>
          <w:rFonts w:ascii="Arial" w:eastAsia="Calibri" w:hAnsi="Arial" w:cs="Arial"/>
          <w:b/>
          <w:bCs/>
          <w:sz w:val="22"/>
          <w:u w:val="single"/>
        </w:rPr>
        <w:t>:</w:t>
      </w:r>
    </w:p>
    <w:p w14:paraId="43E44505" w14:textId="1E8A37C0" w:rsidR="005E0E5D" w:rsidRPr="00C523C4" w:rsidRDefault="005E0E5D" w:rsidP="0037021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Arial"/>
          <w:sz w:val="20"/>
          <w:szCs w:val="20"/>
        </w:rPr>
      </w:pPr>
      <w:r w:rsidRPr="00C523C4">
        <w:rPr>
          <w:rFonts w:cs="Arial"/>
          <w:b/>
          <w:bCs/>
          <w:i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C523C4">
        <w:rPr>
          <w:rFonts w:cs="Arial"/>
          <w:b/>
          <w:bCs/>
          <w:i/>
          <w:sz w:val="20"/>
          <w:szCs w:val="20"/>
        </w:rPr>
        <w:t xml:space="preserve">lub </w:t>
      </w:r>
      <w:r w:rsidR="005D4CB4" w:rsidRPr="00C523C4">
        <w:rPr>
          <w:rFonts w:cs="Arial"/>
          <w:b/>
          <w:bCs/>
          <w:i/>
          <w:sz w:val="20"/>
          <w:szCs w:val="20"/>
        </w:rPr>
        <w:t xml:space="preserve">dwie </w:t>
      </w:r>
      <w:r w:rsidRPr="00C523C4">
        <w:rPr>
          <w:rFonts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Pr="00C523C4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454DB43A" w:rsidR="005E0E5D" w:rsidRPr="00C523C4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  <w:bookmarkStart w:id="3" w:name="_Hlk512577249"/>
      <w:r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lastRenderedPageBreak/>
        <w:t>Oferuj</w:t>
      </w:r>
      <w:r w:rsidR="00D43024"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t>ę realizację zamówienia CZĘŚĆ</w:t>
      </w:r>
      <w:r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t xml:space="preserve"> - I - </w:t>
      </w:r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 xml:space="preserve">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 xml:space="preserve"> PA-440 z</w:t>
      </w:r>
      <w:r w:rsidR="00493BC3" w:rsidRPr="00493BC3">
        <w:rPr>
          <w:rFonts w:ascii="Arial" w:hAnsi="Arial" w:cs="Arial"/>
          <w:b/>
          <w:sz w:val="20"/>
        </w:rPr>
        <w:t xml:space="preserve"> licencjami </w:t>
      </w:r>
      <w:proofErr w:type="spellStart"/>
      <w:r w:rsidR="00493BC3" w:rsidRPr="00493BC3">
        <w:rPr>
          <w:rFonts w:ascii="Arial" w:hAnsi="Arial" w:cs="Arial"/>
          <w:b/>
          <w:sz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oraz 12 licencji </w:t>
      </w:r>
      <w:proofErr w:type="spellStart"/>
      <w:r w:rsidR="00493BC3" w:rsidRPr="00493BC3">
        <w:rPr>
          <w:rFonts w:ascii="Arial" w:hAnsi="Arial" w:cs="Arial"/>
          <w:b/>
          <w:sz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do posiadanych urządzeń PA-440</w:t>
      </w:r>
      <w:r w:rsidR="00493BC3">
        <w:rPr>
          <w:rFonts w:ascii="Arial" w:hAnsi="Arial" w:cs="Arial"/>
          <w:b/>
          <w:sz w:val="20"/>
        </w:rPr>
        <w:t>;</w:t>
      </w:r>
    </w:p>
    <w:p w14:paraId="53FD40DA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CD37FE" w:rsidRPr="00755CD1" w14:paraId="62EEE5C8" w14:textId="77777777" w:rsidTr="00431714">
        <w:trPr>
          <w:trHeight w:val="6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2D400B" w14:textId="77777777" w:rsidR="00CD37FE" w:rsidRPr="00041F9F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FEDE30" w14:textId="77777777" w:rsidR="00CD37FE" w:rsidRPr="00041F9F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9E806D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196C9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277E9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Wartość brutto (kolumna III x IV)</w:t>
            </w:r>
          </w:p>
        </w:tc>
      </w:tr>
      <w:tr w:rsidR="00CD37FE" w:rsidRPr="00755CD1" w14:paraId="65D122C1" w14:textId="77777777" w:rsidTr="00431714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F21615" w14:textId="77777777" w:rsidR="00CD37FE" w:rsidRPr="00C926CA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45D0BC" w14:textId="77777777" w:rsidR="00CD37FE" w:rsidRPr="00C926CA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5A379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3D4E5E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45E44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D37FE" w:rsidRPr="00C926CA" w14:paraId="19FE9967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F2DF7" w14:textId="77777777" w:rsidR="00CD37FE" w:rsidRPr="00C926CA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AE4BF" w14:textId="79AF1ED2" w:rsidR="00CD37FE" w:rsidRDefault="00CD37FE" w:rsidP="00CD37FE">
            <w:pPr>
              <w:tabs>
                <w:tab w:val="left" w:pos="540"/>
              </w:tabs>
              <w:spacing w:line="320" w:lineRule="exact"/>
              <w:ind w:left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37FE">
              <w:rPr>
                <w:rFonts w:ascii="Arial" w:hAnsi="Arial" w:cs="Arial"/>
                <w:bCs/>
                <w:sz w:val="20"/>
                <w:szCs w:val="20"/>
              </w:rPr>
              <w:t xml:space="preserve">Router </w:t>
            </w:r>
            <w:proofErr w:type="spellStart"/>
            <w:r w:rsidRPr="00CD37FE">
              <w:rPr>
                <w:rFonts w:ascii="Arial" w:hAnsi="Arial" w:cs="Arial"/>
                <w:bCs/>
                <w:sz w:val="20"/>
                <w:szCs w:val="20"/>
              </w:rPr>
              <w:t>PaloAlto</w:t>
            </w:r>
            <w:proofErr w:type="spellEnd"/>
            <w:r w:rsidRPr="00CD37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4032D20" w14:textId="1905AD79" w:rsidR="00CD37FE" w:rsidRPr="0010252D" w:rsidRDefault="00CD37FE" w:rsidP="0010252D">
            <w:pPr>
              <w:tabs>
                <w:tab w:val="left" w:pos="540"/>
              </w:tabs>
              <w:spacing w:line="320" w:lineRule="exact"/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37FE">
              <w:rPr>
                <w:rFonts w:ascii="Arial" w:hAnsi="Arial" w:cs="Arial"/>
                <w:bCs/>
                <w:sz w:val="20"/>
                <w:szCs w:val="20"/>
              </w:rPr>
              <w:t>PA-440</w:t>
            </w:r>
            <w:r w:rsidR="001025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252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(urządzenie)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72101" w14:textId="14FC817F" w:rsidR="00CD37FE" w:rsidRPr="00C926CA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5EA1149" w14:textId="77777777" w:rsidR="00CD37FE" w:rsidRPr="00C926CA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A5E2E6" w14:textId="77777777" w:rsidR="00CD37FE" w:rsidRPr="00C926CA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C" w:rsidRPr="00C926CA" w14:paraId="06E8509B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EF4B5" w14:textId="1968FC97" w:rsidR="00DC1F7C" w:rsidRPr="00493BC3" w:rsidRDefault="00DC1F7C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E99EB" w14:textId="74A3D4DC" w:rsidR="00DC1F7C" w:rsidRPr="00DA2A5F" w:rsidRDefault="00DC1F7C" w:rsidP="00DC1F7C">
            <w:pPr>
              <w:tabs>
                <w:tab w:val="left" w:pos="540"/>
              </w:tabs>
              <w:spacing w:line="320" w:lineRule="exact"/>
              <w:ind w:left="142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Licencja partner </w:t>
            </w:r>
            <w:proofErr w:type="spellStart"/>
            <w:r w:rsidRPr="00493BC3">
              <w:rPr>
                <w:rFonts w:ascii="Arial" w:hAnsi="Arial" w:cs="Arial"/>
                <w:bCs/>
                <w:sz w:val="20"/>
                <w:szCs w:val="20"/>
              </w:rPr>
              <w:t>premium</w:t>
            </w:r>
            <w:proofErr w:type="spellEnd"/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2A5F">
              <w:rPr>
                <w:rFonts w:ascii="Arial" w:hAnsi="Arial" w:cs="Arial"/>
                <w:bCs/>
                <w:sz w:val="20"/>
                <w:szCs w:val="20"/>
              </w:rPr>
              <w:t xml:space="preserve">suport – </w:t>
            </w:r>
            <w:r w:rsidR="00DA2A5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dla NOWYCH zakupionych urządzeń PA-440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3C83B" w14:textId="7E93C70F" w:rsidR="00DC1F7C" w:rsidRPr="00493BC3" w:rsidRDefault="00DA2A5F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7553CA7" w14:textId="77777777" w:rsidR="00DC1F7C" w:rsidRPr="00C926CA" w:rsidRDefault="00DC1F7C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C049580" w14:textId="77777777" w:rsidR="00DC1F7C" w:rsidRPr="00C926CA" w:rsidRDefault="00DC1F7C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A5F" w:rsidRPr="00C926CA" w14:paraId="776ACBF3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15B2A" w14:textId="571F2788" w:rsidR="00DA2A5F" w:rsidRPr="00493BC3" w:rsidRDefault="00DA2A5F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31227" w14:textId="589CF842" w:rsidR="00DA2A5F" w:rsidRPr="00DA2A5F" w:rsidRDefault="00DA2A5F" w:rsidP="00DC1F7C">
            <w:pPr>
              <w:tabs>
                <w:tab w:val="left" w:pos="540"/>
              </w:tabs>
              <w:spacing w:line="320" w:lineRule="exact"/>
              <w:ind w:left="142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Licencja partner </w:t>
            </w:r>
            <w:proofErr w:type="spellStart"/>
            <w:r w:rsidRPr="00493BC3">
              <w:rPr>
                <w:rFonts w:ascii="Arial" w:hAnsi="Arial" w:cs="Arial"/>
                <w:bCs/>
                <w:sz w:val="20"/>
                <w:szCs w:val="20"/>
              </w:rPr>
              <w:t>premium</w:t>
            </w:r>
            <w:proofErr w:type="spellEnd"/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suport –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dla posiadanych urządzeń PA-440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C4F56" w14:textId="58C983E3" w:rsidR="00DA2A5F" w:rsidRDefault="00DA2A5F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05C8909" w14:textId="77777777" w:rsidR="00DA2A5F" w:rsidRPr="00C926CA" w:rsidRDefault="00DA2A5F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01DC3D" w14:textId="77777777" w:rsidR="00DA2A5F" w:rsidRPr="00C926CA" w:rsidRDefault="00DA2A5F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CA36B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6A778D62" w14:textId="70973D48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CD37FE">
        <w:rPr>
          <w:rFonts w:ascii="Arial" w:hAnsi="Arial" w:cs="Arial"/>
          <w:b/>
          <w:sz w:val="20"/>
          <w:szCs w:val="20"/>
          <w:highlight w:val="lightGray"/>
        </w:rPr>
        <w:t>………%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BD20060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23E875A4" w14:textId="0066337D" w:rsidR="006C478C" w:rsidRPr="00C523C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a)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77777777" w:rsidR="006C478C" w:rsidRPr="00C523C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C523C4">
        <w:rPr>
          <w:rFonts w:ascii="Arial" w:hAnsi="Arial" w:cs="Arial"/>
          <w:position w:val="2"/>
          <w:sz w:val="20"/>
          <w:szCs w:val="20"/>
        </w:rPr>
        <w:tab/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b)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.......................................................... </w:t>
      </w:r>
      <w:r w:rsidRPr="00C523C4">
        <w:rPr>
          <w:rFonts w:ascii="Arial" w:hAnsi="Arial" w:cs="Arial"/>
          <w:position w:val="2"/>
          <w:sz w:val="20"/>
          <w:szCs w:val="20"/>
        </w:rPr>
        <w:t>PLN</w:t>
      </w:r>
    </w:p>
    <w:p w14:paraId="04A4704D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C523C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370211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22CC9FA5" w14:textId="77777777" w:rsidR="006C478C" w:rsidRPr="00C523C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Pr="00C523C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523C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6253B37" w14:textId="01DE5961" w:rsidR="0082465B" w:rsidRDefault="0082465B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4831391" w14:textId="2992A69F" w:rsidR="00742526" w:rsidRPr="00370211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370211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warunki:</w:t>
      </w:r>
    </w:p>
    <w:p w14:paraId="317B717E" w14:textId="77777777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p w14:paraId="4DBF3B46" w14:textId="4432DB3E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  <w:r w:rsidRPr="00C506B0">
        <w:rPr>
          <w:rFonts w:ascii="Arial" w:hAnsi="Arial" w:cs="Arial"/>
          <w:b/>
          <w:sz w:val="20"/>
          <w:szCs w:val="20"/>
        </w:rPr>
        <w:t>Urządzenie</w:t>
      </w:r>
      <w:r w:rsidR="00CD37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37FE" w:rsidRPr="00C506B0">
        <w:rPr>
          <w:rFonts w:ascii="Arial" w:hAnsi="Arial" w:cs="Arial"/>
          <w:b/>
          <w:sz w:val="20"/>
          <w:szCs w:val="20"/>
          <w:u w:val="single"/>
        </w:rPr>
        <w:t>PaloAlto</w:t>
      </w:r>
      <w:proofErr w:type="spellEnd"/>
      <w:r w:rsidR="00CD37FE" w:rsidRPr="00C506B0">
        <w:rPr>
          <w:rFonts w:ascii="Arial" w:hAnsi="Arial" w:cs="Arial"/>
          <w:b/>
          <w:sz w:val="20"/>
          <w:szCs w:val="20"/>
          <w:u w:val="single"/>
        </w:rPr>
        <w:t xml:space="preserve"> PA-440</w:t>
      </w:r>
      <w:r w:rsidR="00CD37F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506B0">
        <w:rPr>
          <w:rFonts w:ascii="Arial" w:hAnsi="Arial" w:cs="Arial"/>
          <w:b/>
          <w:sz w:val="20"/>
          <w:szCs w:val="20"/>
        </w:rPr>
        <w:t xml:space="preserve">w pełni kompatybilne z urządzeniem </w:t>
      </w:r>
      <w:proofErr w:type="spellStart"/>
      <w:r w:rsidRPr="00C506B0">
        <w:rPr>
          <w:rFonts w:ascii="Arial" w:hAnsi="Arial" w:cs="Arial"/>
          <w:b/>
          <w:sz w:val="20"/>
          <w:szCs w:val="20"/>
        </w:rPr>
        <w:t>PaloAlto</w:t>
      </w:r>
      <w:proofErr w:type="spellEnd"/>
      <w:r w:rsidRPr="00C506B0">
        <w:rPr>
          <w:rFonts w:ascii="Arial" w:hAnsi="Arial" w:cs="Arial"/>
          <w:b/>
          <w:sz w:val="20"/>
          <w:szCs w:val="20"/>
        </w:rPr>
        <w:br/>
        <w:t>PA-850 zainstalowanym w siedzibie głównej zamawiającego, spełniające następujące parametry techniczne:</w:t>
      </w:r>
    </w:p>
    <w:p w14:paraId="75561142" w14:textId="77777777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p w14:paraId="30DBB4CA" w14:textId="3C9D6723" w:rsidR="00742526" w:rsidRPr="00742526" w:rsidRDefault="00742526" w:rsidP="007425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26">
        <w:rPr>
          <w:rFonts w:ascii="Arial" w:hAnsi="Arial" w:cs="Arial"/>
          <w:b/>
          <w:sz w:val="20"/>
          <w:szCs w:val="20"/>
          <w:u w:val="single"/>
        </w:rPr>
        <w:t>Wykonawca musi podać nazwę i model urządzenia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o nazwie</w:t>
      </w:r>
      <w:r w:rsidRPr="0074252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42526">
        <w:rPr>
          <w:rFonts w:ascii="Arial" w:hAnsi="Arial" w:cs="Arial"/>
          <w:b/>
          <w:sz w:val="20"/>
          <w:szCs w:val="20"/>
          <w:highlight w:val="lightGray"/>
          <w:u w:val="single"/>
        </w:rPr>
        <w:t>……………………………………….</w:t>
      </w:r>
    </w:p>
    <w:p w14:paraId="52E75AB2" w14:textId="77777777" w:rsidR="00742526" w:rsidRPr="00C506B0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742526" w:rsidRPr="00B6608E" w14:paraId="7B5CB286" w14:textId="576D879F" w:rsidTr="001A1B9E">
        <w:trPr>
          <w:trHeight w:val="1769"/>
        </w:trPr>
        <w:tc>
          <w:tcPr>
            <w:tcW w:w="591" w:type="dxa"/>
          </w:tcPr>
          <w:p w14:paraId="33140A50" w14:textId="77777777" w:rsidR="00742526" w:rsidRPr="00C506B0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2" w:type="dxa"/>
          </w:tcPr>
          <w:p w14:paraId="22DC6007" w14:textId="77777777" w:rsidR="00742526" w:rsidRPr="00B6608E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2455F64" w14:textId="7777777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6A13F1EE" w14:textId="7777777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1FF8B66E" w14:textId="2522E65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 w:rsidR="00CD37FE"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poniższych bezwzględnych wymagań </w:t>
            </w:r>
          </w:p>
        </w:tc>
      </w:tr>
      <w:tr w:rsidR="00742526" w:rsidRPr="00B6608E" w14:paraId="6AC385A6" w14:textId="237B615F" w:rsidTr="001A1B9E">
        <w:tc>
          <w:tcPr>
            <w:tcW w:w="591" w:type="dxa"/>
          </w:tcPr>
          <w:p w14:paraId="2E39B18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765D0CDE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Zamawiający wymaga, aby zaoferowane urządzenia były uznanymi rozwiązaniami na świecie – producent zaoferowanego rozwiązania musi być notowany w raportach Gartnera dla rozwiązań Enterprise Network Firewall nie starszych niż 2 lata przed złożeniem oferty. Jako równoważny dla raportu Gartnera Zamawiający dopuści również inny raport udostępniany publicznie, powszechnie akceptowany, mający charakter zewnętrznego i obiektywnego raportu standaryzacyjnego, który zapewnia analizę, wgląd w kierunek oraz dojrzałość uczestników rynku w rozwiązaniach typu Network Firewall, aktualizowany co roku od min. 20 lat.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F5330F5" w14:textId="77777777" w:rsidR="00742526" w:rsidRPr="00B6608E" w:rsidRDefault="00742526" w:rsidP="00BB471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2526" w:rsidRPr="00B6608E" w14:paraId="6021F641" w14:textId="458A10BA" w:rsidTr="001A1B9E">
        <w:tc>
          <w:tcPr>
            <w:tcW w:w="591" w:type="dxa"/>
          </w:tcPr>
          <w:p w14:paraId="69EB2BC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14:paraId="7DFCA3B9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Klasa urządzenia: specjalizowane urządzenia sieciowe (tzw.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appliance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 mogące pracować jako pojedyncze urządzenie oraz jako klaster wysokiej dostępności (HA) w trybie Active/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Standby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CB094B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CBACF5C" w14:textId="7D465F49" w:rsidTr="001A1B9E">
        <w:tc>
          <w:tcPr>
            <w:tcW w:w="591" w:type="dxa"/>
          </w:tcPr>
          <w:p w14:paraId="11F0F3C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63C5F7A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Całość sprzętu i oprogramowania musi być dostarczona i wspierana przez jednego producenta. Producent ferowanego rozwiązania musi być obecny w rynkowych raportach Gartner Magic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Quadrant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for Enterprise Network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Firewalls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 części (ćwiartce)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Leaders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przynajmniej od 5 lat.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FC26ACF" w14:textId="77777777" w:rsidR="00742526" w:rsidRPr="00B6608E" w:rsidRDefault="00742526" w:rsidP="00BB471A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2E1E5BF" w14:textId="30884145" w:rsidTr="001A1B9E">
        <w:tc>
          <w:tcPr>
            <w:tcW w:w="591" w:type="dxa"/>
          </w:tcPr>
          <w:p w14:paraId="65B1C26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6F7BDC4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muszą umożliwiać działanie w następujących trybach pracy:</w:t>
            </w:r>
          </w:p>
          <w:p w14:paraId="7DBEA173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rutera (tzn. w warstwie 3 modelu OSI), </w:t>
            </w:r>
          </w:p>
          <w:p w14:paraId="1544BD2E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mostu (tzn. w warstwie 2 modelu OSI), </w:t>
            </w:r>
          </w:p>
          <w:p w14:paraId="091A3FB1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trybie transparentnym (urządzenie nie może posiadać skonfigurowanych adresów IP na interfejsach sieciowych; Musi pracować w trybie przezroczystego łączenia interfejsów w pary.).</w:t>
            </w:r>
          </w:p>
          <w:p w14:paraId="4F0A22B2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trybie pasywnego nasłuchu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sniffer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tap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3CC52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92C5450" w14:textId="1463BE16" w:rsidTr="001A1B9E">
        <w:tc>
          <w:tcPr>
            <w:tcW w:w="591" w:type="dxa"/>
          </w:tcPr>
          <w:p w14:paraId="3F37BD7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586D0381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sz w:val="20"/>
                <w:szCs w:val="20"/>
              </w:rPr>
              <w:t>System musi umożliwiać pracę we wszystkich wymienionych powyżej trybach jednocześnie na różnych interfejsach inspekcyjnych w pojedynczej logicznej instancji systemu.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1801AE6" w14:textId="77777777" w:rsidR="00742526" w:rsidRPr="00B6608E" w:rsidRDefault="00742526" w:rsidP="00BB471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2526" w:rsidRPr="00B6608E" w14:paraId="60FC4FA7" w14:textId="3A94B947" w:rsidTr="001A1B9E">
        <w:tc>
          <w:tcPr>
            <w:tcW w:w="591" w:type="dxa"/>
          </w:tcPr>
          <w:p w14:paraId="64AB62D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1DFBD3E2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muszą być wyposażone w co najmniej jeden port konsoli szeregowej RJ45 oraz w co najmniej jeden dedykowany port </w:t>
            </w:r>
            <w:proofErr w:type="spellStart"/>
            <w:r w:rsidRPr="00B6608E">
              <w:rPr>
                <w:rFonts w:ascii="Arial" w:eastAsia="Calibri" w:hAnsi="Arial" w:cs="Arial"/>
                <w:sz w:val="20"/>
                <w:szCs w:val="20"/>
              </w:rPr>
              <w:t>ethernet</w:t>
            </w:r>
            <w:proofErr w:type="spellEnd"/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  10/100/1000 na cele zarządzania out-of-band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94BCD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11A74F1" w14:textId="431CB0EF" w:rsidTr="001A1B9E">
        <w:tc>
          <w:tcPr>
            <w:tcW w:w="591" w:type="dxa"/>
          </w:tcPr>
          <w:p w14:paraId="4A88AF9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78C5A36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</w:t>
            </w:r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logiczną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separację zasobów służących do przetwarzania ruchu od zasobów służących do zarządzania urządzeniem.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EBCA95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C47FE6B" w14:textId="66B9A414" w:rsidTr="001A1B9E">
        <w:tc>
          <w:tcPr>
            <w:tcW w:w="591" w:type="dxa"/>
          </w:tcPr>
          <w:p w14:paraId="7F05292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</w:tcPr>
          <w:p w14:paraId="04098535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dedykowane zasoby procesora (CPU) do funkcji zarządzania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urządzeniem lub możliwość ustawienia dedykowanego procesora do funkcji zarządzania urządzeniem.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D890E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74A3797" w14:textId="613C78A9" w:rsidTr="001A1B9E">
        <w:tc>
          <w:tcPr>
            <w:tcW w:w="591" w:type="dxa"/>
          </w:tcPr>
          <w:p w14:paraId="70F8499A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</w:tcPr>
          <w:p w14:paraId="002C872B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wspierać protokół Ethernet z obsługą sieci VLAN poprzez znakowanie zgodne z IEEE 802.1q. Pod-interfejsy VLAN mogą być tworzone na interfejsach sieciowych pracujących w trybie L2 i L3. Urządzenie musi obsługiwać 4000 znaczników VLAN.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7EDDDCF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CC5EF89" w14:textId="2B63360D" w:rsidTr="001A1B9E">
        <w:tc>
          <w:tcPr>
            <w:tcW w:w="591" w:type="dxa"/>
          </w:tcPr>
          <w:p w14:paraId="054373D4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32" w:type="dxa"/>
          </w:tcPr>
          <w:p w14:paraId="07BF30F6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wspierać protokół LACP.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81D612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EDFA0FA" w14:textId="3A23B848" w:rsidTr="001A1B9E">
        <w:tc>
          <w:tcPr>
            <w:tcW w:w="591" w:type="dxa"/>
          </w:tcPr>
          <w:p w14:paraId="60832E03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5132" w:type="dxa"/>
          </w:tcPr>
          <w:p w14:paraId="238921BA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zgodnie z ustaloną polityką prowadzić kontrolę ruchu sieciowego pomiędzy obszarami sieci (strefami bezpieczeństwa) na poziomie warstwy sieciowej, transportowej oraz aplikacji (L3, L4, L7).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76169B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C5739AA" w14:textId="3F2156DD" w:rsidTr="001A1B9E">
        <w:tc>
          <w:tcPr>
            <w:tcW w:w="591" w:type="dxa"/>
          </w:tcPr>
          <w:p w14:paraId="442F90C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132" w:type="dxa"/>
          </w:tcPr>
          <w:p w14:paraId="6FD2FD95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działać zgodnie z zasadą bezpieczeństwa najmniejszego możliwego przywileju. Musi blokować wszystkie aplikacje i ruch sieciowy, poza tymi które w regułach polityki bezpieczeństwa skonfigurowanych na firewall są wskazane jako dozwolone.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D0E3DC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8E6911A" w14:textId="26646E1C" w:rsidTr="001A1B9E">
        <w:tc>
          <w:tcPr>
            <w:tcW w:w="591" w:type="dxa"/>
          </w:tcPr>
          <w:p w14:paraId="094BDE0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132" w:type="dxa"/>
          </w:tcPr>
          <w:p w14:paraId="3E91F0B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Polityka zabezpieczeń firewall musi uwzględniać </w:t>
            </w:r>
          </w:p>
          <w:p w14:paraId="7FCC501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adresy IP źródłowe i docelowe, </w:t>
            </w:r>
          </w:p>
          <w:p w14:paraId="5C29FB6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protokoły i usługi sieciowe, </w:t>
            </w:r>
          </w:p>
          <w:p w14:paraId="519F0905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aplikacje, </w:t>
            </w:r>
          </w:p>
          <w:p w14:paraId="5D29D3C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kategorie URL, </w:t>
            </w:r>
          </w:p>
          <w:p w14:paraId="28AED775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użytkowników aplikacji i grupy, </w:t>
            </w:r>
          </w:p>
          <w:p w14:paraId="568C6CA2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reakcje zabezpieczeń, </w:t>
            </w:r>
          </w:p>
          <w:p w14:paraId="6430677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logowanie zdarzeń (początek i koniec sesji)</w:t>
            </w:r>
          </w:p>
          <w:p w14:paraId="2FFEB15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strefa wejściowa i wyjściowa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5E0DCD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D076365" w14:textId="4E853EE8" w:rsidTr="001A1B9E">
        <w:tc>
          <w:tcPr>
            <w:tcW w:w="591" w:type="dxa"/>
          </w:tcPr>
          <w:p w14:paraId="2059704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132" w:type="dxa"/>
          </w:tcPr>
          <w:p w14:paraId="2234575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automatycznie identyfikować aplikacje bez względu na numery portów (włącznie z P2P i IM). Identyfikacja aplikacji musi odbywać się co najmniej poprzez sygnatury. Urządzenie musi wykrywać co najmniej 3300 predefiniowanych aplikacji wspieranych przez producenta wraz z aplikacjami tunelującymi się w HTTP lub HTTPS. Muszą pozwalać na ręczne tworzenie sygnatur dla nowych aplikacji bezpośrednio na GUI urządzenia (bez użycia zewnętrznych narzędzi).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8CB2E9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B74AAA1" w14:textId="55C7F8D4" w:rsidTr="001A1B9E">
        <w:tc>
          <w:tcPr>
            <w:tcW w:w="591" w:type="dxa"/>
          </w:tcPr>
          <w:p w14:paraId="2F7CFBC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132" w:type="dxa"/>
          </w:tcPr>
          <w:p w14:paraId="68D3ABD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pozwalać na blokowanie transmisji plików, nie mniej niż: .pif,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scr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cpl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dll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ocx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.exe,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class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.jar,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vbe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hta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wsf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torrent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.7z,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rar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.bat,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cab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msi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lnk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szyfrowany MS Office, szyfrowany RAR, szyfrowany ZIP. Rozpoznawanie pliku musi odbywać się na podstawie zawartości i metadanych pliku.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3A1B4E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142099F" w14:textId="1DA60498" w:rsidTr="001A1B9E">
        <w:tc>
          <w:tcPr>
            <w:tcW w:w="591" w:type="dxa"/>
          </w:tcPr>
          <w:p w14:paraId="65C2B38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132" w:type="dxa"/>
          </w:tcPr>
          <w:p w14:paraId="796F635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zarządzane z linii poleceń (CLI) oraz graficznej konsoli Web GUI. Nie jest dopuszczalne, aby istniała konieczność instalacji dedykowanego oprogramowania/klienta na stacji administratorów w celu zarządzania systemem.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50B0CA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34D6AB7" w14:textId="13F1C09C" w:rsidTr="001A1B9E">
        <w:tc>
          <w:tcPr>
            <w:tcW w:w="591" w:type="dxa"/>
          </w:tcPr>
          <w:p w14:paraId="1D77E185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132" w:type="dxa"/>
          </w:tcPr>
          <w:p w14:paraId="1B136D1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być wyposażone w interfejs API będący integralną częścią systemu zabezpieczeń, za pomocą którego możliwa jest konfiguracja i monitorowanie stanu urządzenia bez użycia konsoli zarządzania lub linii poleceń (CLI).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C76D4E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F290EE8" w14:textId="35D2462F" w:rsidTr="001A1B9E">
        <w:tc>
          <w:tcPr>
            <w:tcW w:w="591" w:type="dxa"/>
          </w:tcPr>
          <w:p w14:paraId="5C03DA6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132" w:type="dxa"/>
          </w:tcPr>
          <w:p w14:paraId="1ADD844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Dostęp do urządzeń i zarządzanie z sieci muszą być zabezpieczone kryptograficznie (poprzez szyfrowanie komunikacji). System zabezpieczeń musi pozwalać na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zdefiniowanie wielu administratorów o różnych uprawnieniach.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EDB4F9D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5F99D5E" w14:textId="1E8A325F" w:rsidTr="001A1B9E">
        <w:tc>
          <w:tcPr>
            <w:tcW w:w="591" w:type="dxa"/>
          </w:tcPr>
          <w:p w14:paraId="252DB61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132" w:type="dxa"/>
          </w:tcPr>
          <w:p w14:paraId="65AE979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umożliwiać uwierzytelnianie administratorów za pomocą nie mniej niż: baza lokalna, serwer Radius, serwer TACACS+, serwer AD/LDAP. Dla dostępu administracyjnego SSH musi być wspierane uwierzytelnianie za pomocą kluczy SSH a dla dostępu GUI za pomocą certyfikatów kryptograficznych.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6BB356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63E1946" w14:textId="46FCE140" w:rsidTr="001A1B9E">
        <w:tc>
          <w:tcPr>
            <w:tcW w:w="591" w:type="dxa"/>
          </w:tcPr>
          <w:p w14:paraId="04171D7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132" w:type="dxa"/>
          </w:tcPr>
          <w:p w14:paraId="05D2B4C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zapewniać możliwość automatycznego i transparentnego ustalenia tożsamości użytkowników sieci i integrować się w tym zakresie z systemami:</w:t>
            </w:r>
          </w:p>
          <w:p w14:paraId="7F6D0502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Active Directory, </w:t>
            </w:r>
          </w:p>
          <w:p w14:paraId="14662713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Terminal Services</w:t>
            </w:r>
          </w:p>
          <w:p w14:paraId="2DF5B56E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B6608E">
              <w:rPr>
                <w:rFonts w:ascii="Arial" w:eastAsia="Calibri" w:hAnsi="Arial" w:cs="Arial"/>
                <w:sz w:val="20"/>
                <w:szCs w:val="20"/>
              </w:rPr>
              <w:t>Syslog</w:t>
            </w:r>
            <w:proofErr w:type="spellEnd"/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E5A218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B012C4D" w14:textId="12C40FC2" w:rsidTr="001A1B9E">
        <w:tc>
          <w:tcPr>
            <w:tcW w:w="591" w:type="dxa"/>
          </w:tcPr>
          <w:p w14:paraId="575C63E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132" w:type="dxa"/>
          </w:tcPr>
          <w:p w14:paraId="0E70733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Polityka kontroli dostępu (urządzeń firewall) musi precyzyjnie definiować prawa dostępu użytkowników do określonych usług sieci i musi być utrzymywana nawet gdy użytkownik zmieni lokalizację i adres IP. W przypadku użytkowników pracujących w środowisku terminalowym mających wspólny adres IP źródłowy, ustalanie tożsamości musi odbywać się również transparentnie.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69D3A74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C97975E" w14:textId="58D837BA" w:rsidTr="001A1B9E">
        <w:tc>
          <w:tcPr>
            <w:tcW w:w="591" w:type="dxa"/>
          </w:tcPr>
          <w:p w14:paraId="470D2A3D" w14:textId="77777777" w:rsidR="00742526" w:rsidRPr="00B6608E" w:rsidRDefault="00742526" w:rsidP="00BB471A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132" w:type="dxa"/>
          </w:tcPr>
          <w:p w14:paraId="5F1A3CB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pozwalać na lokalne zbieranie (na dysk urządzenia) i analizowanie logów, korelowanie zbieranych informacji oraz budowania raportów na ich podstawie. Zbierane dane powinny zawierać informacje co najmniej o: ruchu sieciowym, aplikacjach, zagrożeniach, filtrowaniu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deszyfracji SSL.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9DEAE4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0DD8A77" w14:textId="6ED03C6B" w:rsidTr="001A1B9E">
        <w:tc>
          <w:tcPr>
            <w:tcW w:w="591" w:type="dxa"/>
          </w:tcPr>
          <w:p w14:paraId="2E9699B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132" w:type="dxa"/>
          </w:tcPr>
          <w:p w14:paraId="6292B2A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umożliwiać tworzenie raportów dostosowanych do wymagań Zamawiającego, zapisania ich na urządzeniu i uruchamiania w sposób ręczny lub automatyczny w określonych interwałach czasowych. Wynik działania raportów musi być dostępny w formatach co najmniej PDF, CSV i XML. Na urządzeniu musi być również dostępne tworzenie raportów o aktywności wybranego użytkownika lub grupy użytkowników na przestrzeni wskazanego okresu czasu.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5AACD4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A286FC2" w14:textId="44921919" w:rsidTr="001A1B9E">
        <w:tc>
          <w:tcPr>
            <w:tcW w:w="591" w:type="dxa"/>
          </w:tcPr>
          <w:p w14:paraId="3E15B51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132" w:type="dxa"/>
          </w:tcPr>
          <w:p w14:paraId="61D2417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umożliwiać tworzenie dynamicznych grup użytkowników. Przynależność do grupy musi bazować na etykietach a proces oznaczania etykietami musi pozwalać na użycie:</w:t>
            </w:r>
          </w:p>
          <w:p w14:paraId="5A25B4CA" w14:textId="77777777" w:rsidR="00742526" w:rsidRPr="00B6608E" w:rsidRDefault="00742526" w:rsidP="00742526">
            <w:pPr>
              <w:widowControl/>
              <w:numPr>
                <w:ilvl w:val="1"/>
                <w:numId w:val="15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reakcji na zdarzenie/log (np. wystąpienie zagrożenia)</w:t>
            </w:r>
          </w:p>
          <w:p w14:paraId="73958551" w14:textId="77777777" w:rsidR="00742526" w:rsidRPr="00B6608E" w:rsidRDefault="00742526" w:rsidP="00742526">
            <w:pPr>
              <w:widowControl/>
              <w:numPr>
                <w:ilvl w:val="1"/>
                <w:numId w:val="15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API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3D9BB0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6F4C159" w14:textId="42E911C6" w:rsidTr="001A1B9E">
        <w:tc>
          <w:tcPr>
            <w:tcW w:w="591" w:type="dxa"/>
          </w:tcPr>
          <w:p w14:paraId="0C543EB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132" w:type="dxa"/>
          </w:tcPr>
          <w:p w14:paraId="16F6D92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posiadać funkcję dynamicznego pobierania i odświeżania informacji o zasobach VM i ich adresach IP i etykietach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tagi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dla środowiska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VMWare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vCenter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Tak pobierane adresy IP muszą pozwalać na budowanie dynamicznych obiektów, które można potem wykorzystywać w polityce bezpieczeństwa urządzeń.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25BBA0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CB5F7BD" w14:textId="13FCD4B2" w:rsidTr="001A1B9E">
        <w:tc>
          <w:tcPr>
            <w:tcW w:w="591" w:type="dxa"/>
          </w:tcPr>
          <w:p w14:paraId="46AA3E8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132" w:type="dxa"/>
          </w:tcPr>
          <w:p w14:paraId="0C2EDBE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protokoły routingu dynamicznego, minimum: BGP i OSPF dla IPv4 i IPv6.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57879F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3B79FEE" w14:textId="59EB1C1E" w:rsidTr="001A1B9E">
        <w:tc>
          <w:tcPr>
            <w:tcW w:w="591" w:type="dxa"/>
          </w:tcPr>
          <w:p w14:paraId="6BEE05E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132" w:type="dxa"/>
          </w:tcPr>
          <w:p w14:paraId="2565F6BE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statyczną i dynamiczną translację adresów NAT. Mechanizmy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NAT muszą umożliwiać co najmniej dostęp wielu komputerów posiadających adresy prywatne do Internetu z wykorzystaniem jednego publicznego adresu IP oraz udostępnianie usług serwerów o adresacji prywatnej w sieci Internet.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BA2979F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3B88A18" w14:textId="179F77BF" w:rsidTr="001A1B9E">
        <w:tc>
          <w:tcPr>
            <w:tcW w:w="591" w:type="dxa"/>
          </w:tcPr>
          <w:p w14:paraId="467F3D2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132" w:type="dxa"/>
          </w:tcPr>
          <w:p w14:paraId="1A5B181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osobny zestaw polityk definiujący reguły translacji adresów NAT rozdzielny od polityk bezpieczeństwa.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BC18AB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EF63AEB" w14:textId="2AF36E64" w:rsidTr="001A1B9E">
        <w:tc>
          <w:tcPr>
            <w:tcW w:w="591" w:type="dxa"/>
          </w:tcPr>
          <w:p w14:paraId="49967CB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132" w:type="dxa"/>
          </w:tcPr>
          <w:p w14:paraId="2D3BECC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Wykonywanie operacji translacji adresów NAT musi być odnotowywane w logach ruchu sieciowego za pomocą dedykowanego pola lub flagi oraz odpowiednich kolumn ze szczegółami NAT.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7DEB8F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C0D24F5" w14:textId="166B8067" w:rsidTr="001A1B9E">
        <w:tc>
          <w:tcPr>
            <w:tcW w:w="591" w:type="dxa"/>
          </w:tcPr>
          <w:p w14:paraId="773F39E9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132" w:type="dxa"/>
          </w:tcPr>
          <w:p w14:paraId="4F9D994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pozwalać na selektywne wysyłanie logów w zależności od ich rodzaju.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529B5A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6FC2556" w14:textId="1C299C89" w:rsidTr="001A1B9E">
        <w:tc>
          <w:tcPr>
            <w:tcW w:w="591" w:type="dxa"/>
          </w:tcPr>
          <w:p w14:paraId="4F4FBCB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132" w:type="dxa"/>
          </w:tcPr>
          <w:p w14:paraId="4108BB0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możliwość deszyfrowania ruchu użytkowników w celu inspekcji dla protokołów HTTP/2, SSL, TLS 1.2, TLS 1.3.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366EC5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EA53EDD" w14:textId="1E85A4C4" w:rsidTr="001A1B9E">
        <w:tc>
          <w:tcPr>
            <w:tcW w:w="591" w:type="dxa"/>
          </w:tcPr>
          <w:p w14:paraId="1230F849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132" w:type="dxa"/>
          </w:tcPr>
          <w:p w14:paraId="7BB1CA2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posiadać możliwość zdefiniowania ruchu SSL/TLS, który należy poddać lub wykluczyć z operacji deszyfrowania i inspekcji rozdzielny od polityk bezpieczeństwa.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80EC0E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97AAD62" w14:textId="390B459F" w:rsidTr="001A1B9E">
        <w:tc>
          <w:tcPr>
            <w:tcW w:w="591" w:type="dxa"/>
          </w:tcPr>
          <w:p w14:paraId="5469987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132" w:type="dxa"/>
          </w:tcPr>
          <w:p w14:paraId="720C35D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Wykonywanie operacji deszyfrowanie ruchu musi być odnotowywane w logach urządzeń w dedykowanej do tego celu sekcji. Musi zawierać informacje ułatwiające diagnostykę m.in. informacje o błędach, typ i rozmiar klucza, wersja TLS. Musi istnieć mechanizm automatycznego wykluczania z szyfrowania problematycznych stron na bazie tego logu.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07AA73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52EE2D9" w14:textId="7C6E13F7" w:rsidTr="001A1B9E">
        <w:tc>
          <w:tcPr>
            <w:tcW w:w="591" w:type="dxa"/>
          </w:tcPr>
          <w:p w14:paraId="525A63A3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132" w:type="dxa"/>
          </w:tcPr>
          <w:p w14:paraId="70AD58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Wykonywanie operacji deszyfrowania ruchu musi umożliwiać wykorzystanie mechanizmów filtrowania URL.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600D7E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9CCAC04" w14:textId="096790F6" w:rsidTr="001A1B9E">
        <w:tc>
          <w:tcPr>
            <w:tcW w:w="591" w:type="dxa"/>
          </w:tcPr>
          <w:p w14:paraId="32C1732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132" w:type="dxa"/>
          </w:tcPr>
          <w:p w14:paraId="426A79B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funkcję ochrony przed atakami typu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DoS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wraz z możliwością limitowania ilości jednoczesnych sesji w odniesieniu do źródłowego lub docelowego adresu IP.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530F14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26FA52A" w14:textId="21A413D2" w:rsidTr="001A1B9E">
        <w:tc>
          <w:tcPr>
            <w:tcW w:w="591" w:type="dxa"/>
          </w:tcPr>
          <w:p w14:paraId="0BEFC7F5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132" w:type="dxa"/>
          </w:tcPr>
          <w:p w14:paraId="08D6C5D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wspierać zarządzanie pasmem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 i ustawiania dla aplikacji priorytetu oraz pasma.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E99248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47A5B8F" w14:textId="441AFC3A" w:rsidTr="001A1B9E">
        <w:tc>
          <w:tcPr>
            <w:tcW w:w="591" w:type="dxa"/>
          </w:tcPr>
          <w:p w14:paraId="0020059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132" w:type="dxa"/>
          </w:tcPr>
          <w:p w14:paraId="67842B3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umożliwiać zestawianie zabezpieczonych kryptograficznie tuneli VPN w oparciu o standardy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IKE w konfiguracji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site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-to-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site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 Konfiguracja VPN musi odbywać się w oparciu o ustawienia trasowania (tzw. routing-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VPN).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A4B04D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636B1D0" w14:textId="0B05F97D" w:rsidTr="001A1B9E">
        <w:tc>
          <w:tcPr>
            <w:tcW w:w="591" w:type="dxa"/>
          </w:tcPr>
          <w:p w14:paraId="751753DD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132" w:type="dxa"/>
          </w:tcPr>
          <w:p w14:paraId="1AF93A1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Dla IKE wymagane jest wsparcie AES-256-CBC, AES-256-GCM, HMAC-SHA-384, HMAC-SHA-512, grupy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14,19,20.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F40DF2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B7C4DE" w14:textId="76BE3548" w:rsidTr="001A1B9E">
        <w:tc>
          <w:tcPr>
            <w:tcW w:w="591" w:type="dxa"/>
          </w:tcPr>
          <w:p w14:paraId="5B50658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132" w:type="dxa"/>
          </w:tcPr>
          <w:p w14:paraId="36530A1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Dla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wymagane jest wsparcie AES-256-CBC, AES-256-GCM, HMAC-SHA-384, HMAC-SHA-512, grupy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14,19,20.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0F021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1A8781" w14:textId="2CCF2A35" w:rsidTr="001A1B9E">
        <w:tc>
          <w:tcPr>
            <w:tcW w:w="591" w:type="dxa"/>
          </w:tcPr>
          <w:p w14:paraId="6708335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132" w:type="dxa"/>
          </w:tcPr>
          <w:p w14:paraId="40A58CE2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zapewniać inspekcję szyfrowanej komunikacji SSH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Secure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Shell).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292F99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46D65A7" w14:textId="7B7EC503" w:rsidTr="001A1B9E">
        <w:tc>
          <w:tcPr>
            <w:tcW w:w="591" w:type="dxa"/>
          </w:tcPr>
          <w:p w14:paraId="56CD2BB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132" w:type="dxa"/>
          </w:tcPr>
          <w:p w14:paraId="1811F84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wykrywania i blokowania ataków/intruzów w warstwie 7 modelu OSI (IPS). Baza sygnatur takiego modułu musi być przechowywania na urządzeniu, regularnie aktualizowana w sposób automatyczny i pochodzić od tego samego producenta co producent systemu zabezpieczeń.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959012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95FB123" w14:textId="768DC86C" w:rsidTr="001A1B9E">
        <w:tc>
          <w:tcPr>
            <w:tcW w:w="591" w:type="dxa"/>
          </w:tcPr>
          <w:p w14:paraId="73E1663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132" w:type="dxa"/>
          </w:tcPr>
          <w:p w14:paraId="291A84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inspekcji antywirusowej uruchamianą per aplikacja/polityka oraz wybrany protokół minimum: http, http2,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smtp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imap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pop3, ftp,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smb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Baza sygnatur anty-wirus musi być przechowywana na urządzeniu, regularnie aktualizowana w sposób automatyczny nie rzadziej niż raz na 24 godziny i pochodzić od tego samego producenta co firewall.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84ECB3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D89D22D" w14:textId="41D72A71" w:rsidTr="001A1B9E">
        <w:tc>
          <w:tcPr>
            <w:tcW w:w="591" w:type="dxa"/>
          </w:tcPr>
          <w:p w14:paraId="671B8DF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132" w:type="dxa"/>
          </w:tcPr>
          <w:p w14:paraId="272124B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anty-spyware. Baza sygnatur musi być przechowywania na urządzeniu, regularnie aktualizowana w sposób automatyczny i pochodzić od tego samego producenta co systemu firewall.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83F7A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161CEC7" w14:textId="3FBFDFBD" w:rsidTr="001A1B9E">
        <w:tc>
          <w:tcPr>
            <w:tcW w:w="591" w:type="dxa"/>
          </w:tcPr>
          <w:p w14:paraId="6B50D87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132" w:type="dxa"/>
          </w:tcPr>
          <w:p w14:paraId="178C6DE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mieć możliwość licencyjnego rozszerzenia o funkcję filtrowania URL w oparciu o kategorie związane z treścią oraz poziomem ryzyka. Baza kategorii URL musi pochodzić od tego samego producenta. 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EF7201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60AAD1B" w14:textId="2995EDD1" w:rsidTr="001A1B9E">
        <w:tc>
          <w:tcPr>
            <w:tcW w:w="591" w:type="dxa"/>
          </w:tcPr>
          <w:p w14:paraId="20466C2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132" w:type="dxa"/>
          </w:tcPr>
          <w:p w14:paraId="48B0E9EB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przechwytywania i przesyłania do zewnętrznego systemu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plików wykonywalnych PE, DLL, ELF oraz JAR przechodzących przez firewall. Systemy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na podstawie przeprowadzonej analizy, muszą aktualizować system firewall sygnaturami nowo wykrytych złośliwych plików, adresów IP, DNS i ewentualnej komunikacji zwrotnej generowanej przez złośliwy plik. 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7D122E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1AC057C" w14:textId="2D349F55" w:rsidTr="001A1B9E">
        <w:tc>
          <w:tcPr>
            <w:tcW w:w="591" w:type="dxa"/>
          </w:tcPr>
          <w:p w14:paraId="229FC6F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132" w:type="dxa"/>
          </w:tcPr>
          <w:p w14:paraId="66A0C99F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mieć możliwość licencyjnego rozszerzenia o ochronę DNS w zakresie:</w:t>
            </w:r>
          </w:p>
          <w:p w14:paraId="4163B513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możliwości skonfigurowania fałszowania odpowiedzi na zapytania DNS zaklasyfikowane jako niebezpieczne (tzw. DNS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sinkholing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),</w:t>
            </w:r>
          </w:p>
          <w:p w14:paraId="29266B5A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wykrywania domen generowanych dynamicznie przez złośliwe oprogramowanie w celu uniknięcia wykrycia kanałów komunikacyjnych (tzw. domeny DGA),</w:t>
            </w:r>
          </w:p>
          <w:p w14:paraId="41F1202E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wykrywanie domen dynamicznych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Dynamic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DNS,</w:t>
            </w:r>
          </w:p>
          <w:p w14:paraId="5A6C5F4C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wykrywania nadużyć protokołu DNS w celu infiltracji i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eksfiltracji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danych.</w:t>
            </w:r>
          </w:p>
          <w:p w14:paraId="0A90D79B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6D1485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DF9666D" w14:textId="35D0D785" w:rsidTr="001A1B9E">
        <w:tc>
          <w:tcPr>
            <w:tcW w:w="591" w:type="dxa"/>
          </w:tcPr>
          <w:p w14:paraId="6F5B5E6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132" w:type="dxa"/>
          </w:tcPr>
          <w:p w14:paraId="1F40A4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funkcjonalność zdalnego dostępu VPN dla użytkowników (tzw. Remote Access VPN). Funkcja ta musi być realizowana na bazie technologii SSL VPN oraz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Jeżeli oprogramowania klienta Remote Access VPN dla laptopów z systemem Windows wymaga licencji – należy dostarczyć licencję na maksymalną wydajność oraz co najmniej dla 1000 użytkowników. Oprogramowanie klienta Remote Access VPN musi pochodzić od tego samego producenta i być objęte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wsparciem technicznym producenta w takim samym okresie jak okres wsparcia technicznego, którym będzie objęty firewall.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7E8DFB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22D2C05" w14:textId="2BDB0D27" w:rsidTr="001A1B9E">
        <w:tc>
          <w:tcPr>
            <w:tcW w:w="591" w:type="dxa"/>
          </w:tcPr>
          <w:p w14:paraId="33DB093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132" w:type="dxa"/>
          </w:tcPr>
          <w:p w14:paraId="74FD3D7F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Funkcjonalność zdalnego dostępu VPN musi integrować się z funkcją rozpoznawania użytkowników.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D94685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425EBE6" w14:textId="1172820F" w:rsidTr="001A1B9E">
        <w:tc>
          <w:tcPr>
            <w:tcW w:w="591" w:type="dxa"/>
          </w:tcPr>
          <w:p w14:paraId="09FE917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132" w:type="dxa"/>
          </w:tcPr>
          <w:p w14:paraId="061F26F3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przypadku gdy jakakolwiek funkcjonalność (włącznie z klientem Remote Access VPN) lub parametr ilościowy wymagają licencji, Zamawiający wymaga ich dostarczenia w celu zapewnienia pełni wymaganych właściwości przez okres 12 miesięcy od daty odbioru sprzętu.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0F4276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DC53EDA" w14:textId="61979B56" w:rsidTr="001A1B9E">
        <w:tc>
          <w:tcPr>
            <w:tcW w:w="591" w:type="dxa"/>
          </w:tcPr>
          <w:p w14:paraId="6DD7DC8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132" w:type="dxa"/>
          </w:tcPr>
          <w:p w14:paraId="0D33F832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Wsparcie serwisowe (techniczne) i gwarancja dla systemu (zwana dalej wsparciem) będzie świadczone przez producenta lub autoryzowane przez producenta centrum serwisowe, niezależne od Wykonawcy, realizowane we współpracy z producentem, przez okres 12 miesięcy od daty odbioru sprzętu.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02F300D" w14:textId="5D78779A" w:rsidR="00742526" w:rsidRPr="00B6608E" w:rsidRDefault="00742526" w:rsidP="00CD3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B0D4473" w14:textId="7D531539" w:rsidTr="001A1B9E">
        <w:tc>
          <w:tcPr>
            <w:tcW w:w="591" w:type="dxa"/>
          </w:tcPr>
          <w:p w14:paraId="3308FCE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5132" w:type="dxa"/>
          </w:tcPr>
          <w:p w14:paraId="7AD9E26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być wyposażone w minimum:</w:t>
            </w:r>
          </w:p>
          <w:p w14:paraId="13CEAE9C" w14:textId="77777777" w:rsidR="00742526" w:rsidRPr="00B6608E" w:rsidRDefault="00742526" w:rsidP="00742526">
            <w:pPr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8 wbudowanych interfejsów 10/100/1000 Ethernet (RJ45)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76215E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A0D4EAD" w14:textId="08EE416B" w:rsidTr="001A1B9E">
        <w:tc>
          <w:tcPr>
            <w:tcW w:w="591" w:type="dxa"/>
          </w:tcPr>
          <w:p w14:paraId="4707EF4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132" w:type="dxa"/>
          </w:tcPr>
          <w:p w14:paraId="1674632C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być wyposażone w zasób dyskowy (inny niż obrotowy HDD) minimum 120 GB na potrzeby systemu operacyjnego, logów i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rejestrowania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pakietów.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7504FE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D34C8F5" w14:textId="1F164D4D" w:rsidTr="001A1B9E">
        <w:tc>
          <w:tcPr>
            <w:tcW w:w="591" w:type="dxa"/>
          </w:tcPr>
          <w:p w14:paraId="3B90057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132" w:type="dxa"/>
          </w:tcPr>
          <w:p w14:paraId="1F2E45B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być wyposażone w co najmniej dwa zasilacze AC.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5A04A8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E8C129B" w14:textId="615808CA" w:rsidTr="001A1B9E">
        <w:tc>
          <w:tcPr>
            <w:tcW w:w="591" w:type="dxa"/>
          </w:tcPr>
          <w:p w14:paraId="7D0E2C2D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132" w:type="dxa"/>
          </w:tcPr>
          <w:p w14:paraId="23C1BE0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spełniać co najmniej następujące parametry wydajnościowe:</w:t>
            </w:r>
          </w:p>
          <w:p w14:paraId="5AA2BF05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2,4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Gbps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dla rozpoznawania i kontroli aplikacji,</w:t>
            </w:r>
          </w:p>
          <w:p w14:paraId="3087056C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1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Gbps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dla rozpoznawania kontroli aplikacji przy włączonych co najmniej następujących funkcjach bezpieczeństwa: IPS, Anty-wirus, Anty-spyware, blokowanie typów plików i z włączonym logowaniem na dysk urządzenia. Funkcje bezpieczeństwa muszą być skonfigurowane w trybie gwarantującym najwyższy poziom ochrony (włączone wszystkie sygnatury IPS i wszystkie sygnatury AV)</w:t>
            </w:r>
          </w:p>
          <w:p w14:paraId="46E7DB92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Minimum 39 000 nowych sesji na sekundę.</w:t>
            </w:r>
          </w:p>
          <w:p w14:paraId="47DF59FD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Minimum 200 000 równoległych sesji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9560EDE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A0E06B8" w14:textId="45851A30" w:rsidTr="001A1B9E">
        <w:tc>
          <w:tcPr>
            <w:tcW w:w="591" w:type="dxa"/>
          </w:tcPr>
          <w:p w14:paraId="3EB29A0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132" w:type="dxa"/>
          </w:tcPr>
          <w:p w14:paraId="64CBD09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obsługiwać nie mniej niż 3 wirtualne routery posiadających odrębne tabele routingu i umożliwiać uruchomienie więcej niż jednej tablicy routingu w pojedynczej instancji systemu zabezpieczeń. Zamawiający dopuszcza rozwiązania, gdzie system urządzenia wymaga, aby tablica routingu była powiązana z wirtualnym systemem w relacji 1:1 wówczas należy przewidzieć w ofercie trzykrotnie większą liczbę wirtualnych firewalli obsługiwanych przez urządzenie aniżeli wymagana w pozostałych wymaganiach dla urządzenia.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E4A7E7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BAC634" w14:textId="2AE2DC66" w:rsidTr="001A1B9E">
        <w:tc>
          <w:tcPr>
            <w:tcW w:w="591" w:type="dxa"/>
          </w:tcPr>
          <w:p w14:paraId="0724C73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5132" w:type="dxa"/>
          </w:tcPr>
          <w:p w14:paraId="28FA708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umożliwiać zdefiniowanie nie mniej niż 2000 reguł polityki bezpieczeństwa.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C2DF2DE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6EEED22" w14:textId="77777777" w:rsidR="00742526" w:rsidRPr="00742526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18FCC45F" w14:textId="77777777" w:rsidR="00370211" w:rsidRDefault="00370211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C79172" w14:textId="1263D1E7" w:rsidR="0059651C" w:rsidRP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Wykonawca w formularzu ofertowym określa / potwierdza 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nazwę,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model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 xml:space="preserve">i 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numer katalogowy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E81D4A">
        <w:rPr>
          <w:rFonts w:ascii="Arial" w:hAnsi="Arial" w:cs="Arial"/>
          <w:strike/>
          <w:sz w:val="22"/>
          <w:szCs w:val="22"/>
        </w:rPr>
        <w:t>numer seryjny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5D8B579F" w14:textId="77777777" w:rsid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00C9538" w14:textId="2A822327" w:rsidR="005E0E5D" w:rsidRDefault="00742526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742526">
        <w:rPr>
          <w:rFonts w:ascii="Arial" w:hAnsi="Arial" w:cs="Arial"/>
          <w:b/>
          <w:spacing w:val="4"/>
          <w:sz w:val="20"/>
          <w:szCs w:val="20"/>
        </w:rPr>
        <w:t>Oświadczamy, że przedmiot umowy będzie dostarczony do siedziby zamawiającego do 12 tygodni od podpisania umowy</w:t>
      </w:r>
      <w:r w:rsidR="00CD37FE">
        <w:rPr>
          <w:rFonts w:ascii="Arial" w:hAnsi="Arial" w:cs="Arial"/>
          <w:b/>
          <w:spacing w:val="4"/>
          <w:sz w:val="20"/>
          <w:szCs w:val="20"/>
        </w:rPr>
        <w:t>.</w:t>
      </w:r>
    </w:p>
    <w:p w14:paraId="10D74EEC" w14:textId="77777777" w:rsidR="00755CD1" w:rsidRPr="00C523C4" w:rsidRDefault="00755CD1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</w:rPr>
      </w:pPr>
    </w:p>
    <w:p w14:paraId="277E82D0" w14:textId="77777777" w:rsidR="0059651C" w:rsidRDefault="0059651C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</w:pPr>
    </w:p>
    <w:p w14:paraId="65E1A9B9" w14:textId="77777777" w:rsidR="0059651C" w:rsidRDefault="0059651C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</w:pPr>
    </w:p>
    <w:p w14:paraId="5144AFFF" w14:textId="487E80EC" w:rsidR="00CD37FE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>Oferuję realizację zamówienia CZĘŚ</w:t>
      </w:r>
      <w:r w:rsidR="00D43024"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>Ć</w:t>
      </w:r>
      <w:r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 - II - </w:t>
      </w:r>
      <w:r w:rsidR="00493BC3" w:rsidRPr="00493BC3">
        <w:rPr>
          <w:rFonts w:ascii="Arial" w:hAnsi="Arial" w:cs="Arial"/>
          <w:b/>
          <w:sz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i licencjami (ilość szt. 3) oraz punktów dostępowych z licencjami</w:t>
      </w:r>
      <w:r w:rsidR="00065B3F">
        <w:rPr>
          <w:rFonts w:ascii="Arial" w:hAnsi="Arial" w:cs="Arial"/>
          <w:b/>
          <w:sz w:val="20"/>
        </w:rPr>
        <w:t xml:space="preserve"> </w:t>
      </w:r>
      <w:r w:rsidR="00065B3F" w:rsidRPr="00493BC3">
        <w:rPr>
          <w:rFonts w:ascii="Arial" w:hAnsi="Arial" w:cs="Arial"/>
          <w:b/>
          <w:sz w:val="20"/>
        </w:rPr>
        <w:t>(ilość szt. 15)</w:t>
      </w:r>
      <w:r w:rsidR="00493BC3" w:rsidRPr="00493BC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12C4FB75" w14:textId="77777777" w:rsidR="00493BC3" w:rsidRDefault="00493BC3" w:rsidP="0082465B">
      <w:pPr>
        <w:pStyle w:val="Tekstpodstawowy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CD37FE" w:rsidRPr="00CD37FE" w14:paraId="39256644" w14:textId="77777777" w:rsidTr="00CD37F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933A" w14:textId="77777777" w:rsidR="00CD37FE" w:rsidRPr="00CD37FE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17C0" w14:textId="77777777" w:rsidR="00CD37FE" w:rsidRPr="00CD37FE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EE802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E3235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1A4AB09C" w14:textId="438CDFDC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7649A" w14:textId="3E59E8F4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338C" w14:textId="4FE42402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CD37FE" w:rsidRPr="00755CD1" w14:paraId="22492CAC" w14:textId="77777777" w:rsidTr="00CD37F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10176" w14:textId="77777777" w:rsidR="00CD37FE" w:rsidRPr="00CD37FE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205FF" w14:textId="77777777" w:rsidR="00CD37FE" w:rsidRPr="00CD37FE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D0AD5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4272E" w14:textId="353D9C15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58FAF" w14:textId="7CF7F06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5DB41" w14:textId="1799A913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CD37FE" w:rsidRPr="00493BC3" w14:paraId="347AC049" w14:textId="77777777" w:rsidTr="00CD37F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9713" w14:textId="77777777" w:rsidR="00CD37FE" w:rsidRPr="00493BC3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7B6E0" w14:textId="70F5DE99" w:rsidR="00CD37FE" w:rsidRPr="00493BC3" w:rsidRDefault="00CD37FE" w:rsidP="00BB471A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Przełączniki sieciowe</w:t>
            </w:r>
            <w:r w:rsidR="006469A3" w:rsidRPr="00493BC3">
              <w:rPr>
                <w:rFonts w:ascii="Arial" w:hAnsi="Arial" w:cs="Arial"/>
                <w:sz w:val="20"/>
                <w:szCs w:val="20"/>
              </w:rPr>
              <w:t xml:space="preserve"> z modułem </w:t>
            </w:r>
            <w:proofErr w:type="spellStart"/>
            <w:r w:rsidR="006469A3" w:rsidRPr="00493BC3">
              <w:rPr>
                <w:rFonts w:ascii="Arial" w:hAnsi="Arial" w:cs="Arial"/>
                <w:sz w:val="20"/>
                <w:szCs w:val="20"/>
              </w:rPr>
              <w:t>stackującym</w:t>
            </w:r>
            <w:proofErr w:type="spellEnd"/>
            <w:r w:rsidR="006469A3" w:rsidRPr="00493BC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C1F7C" w:rsidRPr="00493BC3">
              <w:rPr>
                <w:rFonts w:ascii="Arial" w:hAnsi="Arial" w:cs="Arial"/>
                <w:sz w:val="20"/>
                <w:szCs w:val="20"/>
              </w:rPr>
              <w:t xml:space="preserve"> licencjami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F9CB2" w14:textId="1F11EBFA" w:rsidR="00CD37FE" w:rsidRPr="00493BC3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4A79F8" w14:textId="77777777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2B331B" w14:textId="41FFFAEF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544F80" w14:textId="77777777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FE" w:rsidRPr="00C926CA" w14:paraId="67928DEF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81BD" w14:textId="77777777" w:rsidR="00CD37FE" w:rsidRPr="00493BC3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12BF8" w14:textId="64AF9FD6" w:rsidR="00CD37FE" w:rsidRPr="00493BC3" w:rsidRDefault="00CD37FE" w:rsidP="00BB471A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 xml:space="preserve">Punkty dostępowe </w:t>
            </w:r>
            <w:r w:rsidR="00DC1F7C" w:rsidRPr="00493BC3">
              <w:rPr>
                <w:rFonts w:ascii="Arial" w:hAnsi="Arial" w:cs="Arial"/>
                <w:sz w:val="20"/>
                <w:szCs w:val="20"/>
              </w:rPr>
              <w:t>z licencjami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089AF" w14:textId="56A076A9" w:rsidR="00CD37FE" w:rsidRPr="00CD37FE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490C4A" w14:textId="7777777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EC814" w14:textId="0835DC1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0E8860" w14:textId="7777777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14B9A96" w14:textId="77777777" w:rsidR="007E0CAC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88BFE4" w14:textId="77777777" w:rsidR="007E0CAC" w:rsidRDefault="007E0CAC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CD37FE">
        <w:rPr>
          <w:rFonts w:ascii="Arial" w:hAnsi="Arial" w:cs="Arial"/>
          <w:b/>
          <w:sz w:val="20"/>
          <w:szCs w:val="20"/>
          <w:highlight w:val="lightGray"/>
        </w:rPr>
        <w:t>………%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64CFE8" w14:textId="77777777" w:rsidR="007E0CAC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79A0E1" w14:textId="65B94A50" w:rsidR="006C478C" w:rsidRPr="00C523C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Cena oferty  wynosi :</w:t>
      </w:r>
    </w:p>
    <w:p w14:paraId="3FEE51E3" w14:textId="77777777" w:rsidR="00CD37FE" w:rsidRDefault="00CD37FE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031D7F9B" w14:textId="7B928B13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a) </w:t>
      </w:r>
      <w:r w:rsidRPr="00C523C4">
        <w:rPr>
          <w:rFonts w:ascii="Arial" w:hAnsi="Arial" w:cs="Arial"/>
          <w:position w:val="2"/>
          <w:sz w:val="20"/>
          <w:szCs w:val="20"/>
        </w:rPr>
        <w:tab/>
        <w:t>wartość (bez podatku VAT)  : .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 </w:t>
      </w:r>
      <w:r w:rsidRPr="00C523C4">
        <w:rPr>
          <w:rFonts w:ascii="Arial" w:hAnsi="Arial" w:cs="Arial"/>
          <w:position w:val="2"/>
          <w:sz w:val="20"/>
          <w:szCs w:val="20"/>
        </w:rPr>
        <w:t>PLN</w:t>
      </w:r>
    </w:p>
    <w:p w14:paraId="1DB502B3" w14:textId="77777777" w:rsidR="006C478C" w:rsidRPr="00C523C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C523C4">
        <w:rPr>
          <w:rFonts w:ascii="Arial" w:hAnsi="Arial" w:cs="Arial"/>
          <w:position w:val="2"/>
          <w:sz w:val="20"/>
          <w:szCs w:val="20"/>
        </w:rPr>
        <w:tab/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........................................................................................................................)</w:t>
      </w:r>
      <w:r w:rsidRPr="00C523C4"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b)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: 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4DA4733F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38E629B4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C523C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</w:t>
      </w:r>
      <w:r w:rsidRPr="00370211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: ................................</w:t>
      </w: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70DAB4DB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115926EE" w14:textId="77777777" w:rsidR="006C478C" w:rsidRPr="00C523C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Pr="00C523C4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523C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Pr="00C523C4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C275349" w14:textId="33FC1A9B" w:rsidR="005D4CB4" w:rsidRPr="0059651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Deklaruję termin dostawy do </w:t>
      </w:r>
      <w:r w:rsidRPr="0059651C">
        <w:rPr>
          <w:rFonts w:ascii="Arial" w:hAnsi="Arial" w:cs="Arial"/>
          <w:b/>
          <w:bCs/>
          <w:position w:val="2"/>
          <w:sz w:val="20"/>
          <w:szCs w:val="20"/>
          <w:highlight w:val="darkGray"/>
          <w:shd w:val="clear" w:color="auto" w:fill="F2F2F2"/>
        </w:rPr>
        <w:t>…………</w:t>
      </w:r>
      <w:r w:rsidRPr="0059651C">
        <w:rPr>
          <w:rFonts w:ascii="Arial" w:hAnsi="Arial" w:cs="Arial"/>
          <w:b/>
          <w:bCs/>
          <w:position w:val="2"/>
          <w:sz w:val="20"/>
          <w:szCs w:val="20"/>
          <w:shd w:val="clear" w:color="auto" w:fill="F2F2F2"/>
        </w:rPr>
        <w:t xml:space="preserve"> 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>dni</w:t>
      </w:r>
      <w:r w:rsidR="0082465B"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 od chwili złożenia zamówienia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>. (</w:t>
      </w:r>
      <w:r w:rsidRPr="0059651C">
        <w:rPr>
          <w:rFonts w:ascii="Arial" w:hAnsi="Arial" w:cs="Arial"/>
          <w:b/>
          <w:bCs/>
          <w:i/>
          <w:position w:val="2"/>
          <w:sz w:val="20"/>
          <w:szCs w:val="20"/>
        </w:rPr>
        <w:t>max</w:t>
      </w:r>
      <w:r w:rsidR="00C523C4" w:rsidRPr="0059651C">
        <w:rPr>
          <w:rFonts w:ascii="Arial" w:hAnsi="Arial" w:cs="Arial"/>
          <w:b/>
          <w:bCs/>
          <w:i/>
          <w:position w:val="2"/>
          <w:sz w:val="20"/>
          <w:szCs w:val="20"/>
        </w:rPr>
        <w:t>. 28 dni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).        </w:t>
      </w:r>
    </w:p>
    <w:p w14:paraId="33E50227" w14:textId="5BB2BE68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C523C4">
        <w:rPr>
          <w:rFonts w:ascii="Arial" w:hAnsi="Arial" w:cs="Arial"/>
          <w:i/>
          <w:position w:val="2"/>
          <w:sz w:val="18"/>
          <w:szCs w:val="18"/>
        </w:rPr>
        <w:lastRenderedPageBreak/>
        <w:t>(</w:t>
      </w:r>
      <w:r w:rsidRPr="00C523C4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4FDB6EB5" w14:textId="77777777" w:rsidR="00C523C4" w:rsidRPr="00C523C4" w:rsidRDefault="00C523C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</w:p>
    <w:p w14:paraId="5695FFDE" w14:textId="06A38D97" w:rsidR="006C478C" w:rsidRPr="00C523C4" w:rsidRDefault="006C478C" w:rsidP="006C478C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C523C4">
        <w:rPr>
          <w:rFonts w:ascii="Arial" w:hAnsi="Arial" w:cs="Arial"/>
          <w:b/>
          <w:color w:val="FF0000"/>
          <w:sz w:val="20"/>
          <w:szCs w:val="20"/>
        </w:rPr>
        <w:t>UWAGA!</w:t>
      </w:r>
    </w:p>
    <w:p w14:paraId="695AC897" w14:textId="1E371C39" w:rsidR="005D4CB4" w:rsidRPr="00C523C4" w:rsidRDefault="005D4CB4" w:rsidP="005D4CB4">
      <w:pPr>
        <w:spacing w:line="312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W przypadku powyższych kryteriów </w:t>
      </w:r>
      <w:r w:rsidR="00F97F6F"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przy </w:t>
      </w:r>
      <w:r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braku deklaracji terminu dostawy zamawiający uzna, że taki termin wynosi 3 dni i przyzna wykonawcy 0 pkt. w ramach kryteriów oceny ofert </w:t>
      </w:r>
    </w:p>
    <w:p w14:paraId="26A7A8EB" w14:textId="77777777" w:rsidR="0030459F" w:rsidRDefault="0030459F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53DDB990" w14:textId="709E15FF" w:rsidR="0030459F" w:rsidRPr="0059651C" w:rsidRDefault="0059651C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u w:val="single"/>
        </w:rPr>
      </w:pPr>
      <w:r>
        <w:rPr>
          <w:rFonts w:ascii="Arial" w:hAnsi="Arial" w:cs="Arial"/>
          <w:b/>
          <w:bCs/>
          <w:position w:val="2"/>
          <w:u w:val="single"/>
        </w:rPr>
        <w:t xml:space="preserve">A. 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>Deklarujemy, że oferowane urządzenia spełniają następujące warunki:</w:t>
      </w:r>
    </w:p>
    <w:p w14:paraId="11A8B8BF" w14:textId="5B27C65E" w:rsidR="0030459F" w:rsidRPr="0059651C" w:rsidRDefault="0059651C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</w:pPr>
      <w:r>
        <w:rPr>
          <w:rFonts w:ascii="Arial" w:hAnsi="Arial" w:cs="Arial"/>
          <w:b/>
          <w:bCs/>
          <w:position w:val="2"/>
        </w:rPr>
        <w:t xml:space="preserve">    </w:t>
      </w:r>
      <w:r w:rsidR="0030459F" w:rsidRPr="0059651C">
        <w:rPr>
          <w:rFonts w:ascii="Arial" w:hAnsi="Arial" w:cs="Arial"/>
          <w:b/>
          <w:bCs/>
          <w:position w:val="2"/>
        </w:rPr>
        <w:t xml:space="preserve">Przełączniki sieciowe: Nazwa i model przełączników </w:t>
      </w:r>
      <w:r w:rsidR="0030459F" w:rsidRPr="0059651C"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  <w:t>……………………………</w:t>
      </w:r>
    </w:p>
    <w:p w14:paraId="43E45D20" w14:textId="77777777" w:rsidR="00C93D8E" w:rsidRDefault="00C93D8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tbl>
      <w:tblPr>
        <w:tblStyle w:val="Tabela-Siatka"/>
        <w:tblW w:w="11146" w:type="dxa"/>
        <w:tblInd w:w="-714" w:type="dxa"/>
        <w:tblLook w:val="04A0" w:firstRow="1" w:lastRow="0" w:firstColumn="1" w:lastColumn="0" w:noHBand="0" w:noVBand="1"/>
      </w:tblPr>
      <w:tblGrid>
        <w:gridCol w:w="591"/>
        <w:gridCol w:w="5788"/>
        <w:gridCol w:w="4767"/>
      </w:tblGrid>
      <w:tr w:rsidR="00C93D8E" w:rsidRPr="00B6608E" w14:paraId="6AE63715" w14:textId="77777777" w:rsidTr="00370211">
        <w:trPr>
          <w:trHeight w:val="416"/>
        </w:trPr>
        <w:tc>
          <w:tcPr>
            <w:tcW w:w="6379" w:type="dxa"/>
            <w:gridSpan w:val="2"/>
          </w:tcPr>
          <w:p w14:paraId="73FA4EF7" w14:textId="4E38B74A" w:rsid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0BFFA" w14:textId="77777777" w:rsid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7F352" w14:textId="411594CD" w:rsidR="00C93D8E" w:rsidRPr="00B6608E" w:rsidRDefault="00C93D8E" w:rsidP="00C93D8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DE879F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4605E21C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6AC0360B" w14:textId="427D6005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poniższych  wymagań </w:t>
            </w:r>
          </w:p>
        </w:tc>
      </w:tr>
      <w:tr w:rsidR="00C93D8E" w:rsidRPr="00B6608E" w14:paraId="504BCF61" w14:textId="77777777" w:rsidTr="00370211">
        <w:trPr>
          <w:trHeight w:val="871"/>
        </w:trPr>
        <w:tc>
          <w:tcPr>
            <w:tcW w:w="591" w:type="dxa"/>
          </w:tcPr>
          <w:p w14:paraId="29A99D91" w14:textId="2A50D5E2" w:rsidR="00C93D8E" w:rsidRPr="00C506B0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14:paraId="247EEA64" w14:textId="77777777" w:rsidR="00C93D8E" w:rsidRPr="00437BE7" w:rsidRDefault="00C93D8E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Typ i liczba portów:</w:t>
            </w:r>
          </w:p>
          <w:p w14:paraId="6B0E8FF3" w14:textId="741C36EC" w:rsidR="00C93D8E" w:rsidRPr="003B6A40" w:rsidRDefault="00C93D8E" w:rsidP="003B6A40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48 portów 10/100/1000BaseT RJ-45 +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uplink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4x10G SFP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8B55A09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D8E" w:rsidRPr="00E81D4A" w14:paraId="5330CDD8" w14:textId="77777777" w:rsidTr="00370211">
        <w:trPr>
          <w:trHeight w:val="871"/>
        </w:trPr>
        <w:tc>
          <w:tcPr>
            <w:tcW w:w="591" w:type="dxa"/>
          </w:tcPr>
          <w:p w14:paraId="42A75742" w14:textId="7A29F8B8" w:rsidR="00C93D8E" w:rsidRPr="00C506B0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14:paraId="729779AF" w14:textId="77777777" w:rsidR="00C93D8E" w:rsidRPr="00437BE7" w:rsidRDefault="00C93D8E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Porty SFP/SFP+ możliwe do obsadzenia szerokim wachlarzem wkładek zależnie od potrzeb:</w:t>
            </w:r>
          </w:p>
          <w:p w14:paraId="382412D4" w14:textId="23CE95A3" w:rsidR="00C93D8E" w:rsidRPr="00437BE7" w:rsidRDefault="00C93D8E" w:rsidP="00C93D8E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Porty SFP –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wkładki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1000Base-T, 1000Base-SX, 1000Base-LX/LH, 1000Base-EX, 1000Base-ZX, 1000Base-BX-D/U</w:t>
            </w:r>
          </w:p>
          <w:p w14:paraId="28CB536C" w14:textId="3B6818D4" w:rsidR="00C93D8E" w:rsidRPr="00C93D8E" w:rsidRDefault="00C93D8E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Porty SFP+ -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wkładki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1000Base-T, 1000Base-SX, 1000Base-LX/LH, 1000Base-EX, 1000Base-ZX, 1000Base-BX-D/U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10Gigabit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10GBase-SR, 10GBase-LR, 10GBase-ER, 10GBase-ZR, 10GBase-BX-D/U,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twinax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1B4C24E9" w14:textId="77777777" w:rsidR="00C93D8E" w:rsidRP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1E30" w:rsidRPr="002E1E30" w14:paraId="459F1065" w14:textId="77777777" w:rsidTr="00370211">
        <w:trPr>
          <w:trHeight w:val="871"/>
        </w:trPr>
        <w:tc>
          <w:tcPr>
            <w:tcW w:w="591" w:type="dxa"/>
          </w:tcPr>
          <w:p w14:paraId="4DA8F159" w14:textId="0244C3C5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14:paraId="2169DDB5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stackowania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przełączników z zapewnieniem następujących funkcjonalności:</w:t>
            </w:r>
          </w:p>
          <w:p w14:paraId="756B2AD6" w14:textId="0E8BB296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Przepustowość w ramach stosu - 80Gb/s</w:t>
            </w:r>
          </w:p>
          <w:p w14:paraId="2B575BE3" w14:textId="0F46AE2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8 urządzeń w stosie</w:t>
            </w:r>
          </w:p>
          <w:p w14:paraId="516CEEF4" w14:textId="3D73931D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Zarządzanie poprzez jeden adres IP</w:t>
            </w:r>
          </w:p>
          <w:p w14:paraId="5B17D829" w14:textId="3CF2163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tworzenia połączeń cross-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stack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Link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(czyli dla portów należących do różnych jednostek w stosie) zgodnie z IEEE 802.3ad</w:t>
            </w:r>
          </w:p>
          <w:p w14:paraId="653FC569" w14:textId="77777777" w:rsidR="002E1E30" w:rsidRPr="00437BE7" w:rsidRDefault="002E1E30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5A85446E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E30" w:rsidRPr="002E1E30" w14:paraId="77E3419C" w14:textId="77777777" w:rsidTr="00370211">
        <w:trPr>
          <w:trHeight w:val="871"/>
        </w:trPr>
        <w:tc>
          <w:tcPr>
            <w:tcW w:w="591" w:type="dxa"/>
          </w:tcPr>
          <w:p w14:paraId="3A19D60D" w14:textId="6458F209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14:paraId="73281679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Zasilanie i chłodzenie</w:t>
            </w:r>
          </w:p>
          <w:p w14:paraId="63F309AE" w14:textId="39B0519D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instalacji zasilacza redundantnego AC 230V. Zasilacze wymienne (możliwość instalacji/wymiany „na gorąco” – ang. hot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swap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C73D70" w14:textId="4B4641BB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</w:rPr>
              <w:t>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Redundantne wentylatory</w:t>
            </w:r>
          </w:p>
          <w:p w14:paraId="0C35737D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99C2FD0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E30" w:rsidRPr="002E1E30" w14:paraId="1A6062C9" w14:textId="77777777" w:rsidTr="00370211">
        <w:trPr>
          <w:trHeight w:val="871"/>
        </w:trPr>
        <w:tc>
          <w:tcPr>
            <w:tcW w:w="591" w:type="dxa"/>
          </w:tcPr>
          <w:p w14:paraId="05141DE8" w14:textId="7EBA6DB1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14:paraId="1F90C3BD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Parametry wydajnościowe:</w:t>
            </w:r>
          </w:p>
          <w:p w14:paraId="0FB1EF7F" w14:textId="7E04061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line-rate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3D99B4" w14:textId="511ACFE3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Bufor pakietów – 6MB </w:t>
            </w:r>
          </w:p>
          <w:p w14:paraId="2E3E5B91" w14:textId="5854C1A1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Pamięć DRAM – 2GB</w:t>
            </w:r>
          </w:p>
          <w:p w14:paraId="294BA6F7" w14:textId="634D64EC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Pamięć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4GB</w:t>
            </w:r>
          </w:p>
          <w:p w14:paraId="56510AAD" w14:textId="5F4D9FB0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</w:t>
            </w:r>
          </w:p>
          <w:p w14:paraId="7E136A7B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1000 sieci VLAN</w:t>
            </w:r>
          </w:p>
          <w:p w14:paraId="49E8F681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16.000 adresów MAC</w:t>
            </w:r>
          </w:p>
          <w:p w14:paraId="09459C97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3.000 tras IPv4</w:t>
            </w:r>
          </w:p>
          <w:p w14:paraId="4E950BA5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1.500 tras IPv6</w:t>
            </w:r>
          </w:p>
          <w:p w14:paraId="6FCBFA3C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F4BCF65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2923770E" w14:textId="77777777" w:rsidTr="00370211">
        <w:trPr>
          <w:trHeight w:val="454"/>
        </w:trPr>
        <w:tc>
          <w:tcPr>
            <w:tcW w:w="591" w:type="dxa"/>
          </w:tcPr>
          <w:p w14:paraId="275DF120" w14:textId="260F2F70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788" w:type="dxa"/>
          </w:tcPr>
          <w:p w14:paraId="59F827AC" w14:textId="378E6EA5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protokołu NTP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016E387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4F6429ED" w14:textId="77777777" w:rsidTr="00370211">
        <w:trPr>
          <w:trHeight w:val="454"/>
        </w:trPr>
        <w:tc>
          <w:tcPr>
            <w:tcW w:w="591" w:type="dxa"/>
          </w:tcPr>
          <w:p w14:paraId="2ED79DDC" w14:textId="50A949FB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788" w:type="dxa"/>
          </w:tcPr>
          <w:p w14:paraId="20CFCF26" w14:textId="5BE3BE65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Obsługa IGMPv1/2/3 i MLDv1/2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5F4AB08E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7D8E60AB" w14:textId="77777777" w:rsidTr="00370211">
        <w:trPr>
          <w:trHeight w:val="454"/>
        </w:trPr>
        <w:tc>
          <w:tcPr>
            <w:tcW w:w="591" w:type="dxa"/>
          </w:tcPr>
          <w:p w14:paraId="1B236BC2" w14:textId="0987F6B5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88" w:type="dxa"/>
          </w:tcPr>
          <w:p w14:paraId="6118312B" w14:textId="77777777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wspiera następujące mechanizmy związane z zapewnieniem ciągłości pracy sieci:</w:t>
            </w:r>
          </w:p>
          <w:p w14:paraId="782329EA" w14:textId="48ACC169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 Rapid Spanning Tree</w:t>
            </w:r>
          </w:p>
          <w:p w14:paraId="780BFA67" w14:textId="4DF566A5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Per-VLAN Rapid Spanning Tree (PVRST+)</w:t>
            </w:r>
          </w:p>
          <w:p w14:paraId="7E92401E" w14:textId="0AF1210D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802.1s Multi-Instance Spanning Tree</w:t>
            </w:r>
          </w:p>
          <w:p w14:paraId="4BB2C518" w14:textId="58D46086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64 instancji protokołu STP</w:t>
            </w:r>
          </w:p>
          <w:p w14:paraId="38E9A4CE" w14:textId="77777777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6643691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2D1BE17E" w14:textId="77777777" w:rsidTr="00370211">
        <w:trPr>
          <w:trHeight w:val="454"/>
        </w:trPr>
        <w:tc>
          <w:tcPr>
            <w:tcW w:w="591" w:type="dxa"/>
          </w:tcPr>
          <w:p w14:paraId="34D028B3" w14:textId="21A67578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788" w:type="dxa"/>
          </w:tcPr>
          <w:p w14:paraId="30B617DF" w14:textId="5C08FD0F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protokołu LLDP i LLDP-MED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4BE8C5E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0E5A4A16" w14:textId="77777777" w:rsidTr="00370211">
        <w:trPr>
          <w:trHeight w:val="454"/>
        </w:trPr>
        <w:tc>
          <w:tcPr>
            <w:tcW w:w="591" w:type="dxa"/>
          </w:tcPr>
          <w:p w14:paraId="7E4B50D1" w14:textId="1F2AC9BD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788" w:type="dxa"/>
          </w:tcPr>
          <w:p w14:paraId="2A684EA6" w14:textId="71138EBE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Funkcjonalność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traceroute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umożliwiająca śledzenie fizycznej trasy pakietu o zadanym źródłowym i docelowym adresie MAC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E9DFF5B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6FFFC7F2" w14:textId="77777777" w:rsidTr="00370211">
        <w:trPr>
          <w:trHeight w:val="454"/>
        </w:trPr>
        <w:tc>
          <w:tcPr>
            <w:tcW w:w="591" w:type="dxa"/>
          </w:tcPr>
          <w:p w14:paraId="67251B0C" w14:textId="17809C61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788" w:type="dxa"/>
          </w:tcPr>
          <w:p w14:paraId="158B92A6" w14:textId="5FE4044B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685A460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56CF04B1" w14:textId="77777777" w:rsidTr="00370211">
        <w:trPr>
          <w:trHeight w:val="454"/>
        </w:trPr>
        <w:tc>
          <w:tcPr>
            <w:tcW w:w="591" w:type="dxa"/>
          </w:tcPr>
          <w:p w14:paraId="3F87988D" w14:textId="4B3DD917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788" w:type="dxa"/>
          </w:tcPr>
          <w:p w14:paraId="4FF43DDA" w14:textId="3C8D0AB1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7F5ABDC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5D7D5B97" w14:textId="77777777" w:rsidTr="00370211">
        <w:trPr>
          <w:trHeight w:val="454"/>
        </w:trPr>
        <w:tc>
          <w:tcPr>
            <w:tcW w:w="591" w:type="dxa"/>
          </w:tcPr>
          <w:p w14:paraId="53FF25A6" w14:textId="77777777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788" w:type="dxa"/>
          </w:tcPr>
          <w:p w14:paraId="7E5445B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Mechanizmy związane z bezpieczeństwem sieci:</w:t>
            </w:r>
          </w:p>
          <w:p w14:paraId="02046E35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Wiele poziomów dostępu administracyjnego poprzez konsolę. Przełącznik umożliwia zalogowanie się administratora z konkretnym poziomem dostępu zgodnie z odpowiedzą serwera autoryzacji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privilege-level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04952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Autoryzacja użytkowników w oparciu o IEEE 802.1X z możliwością dynamicznego przypisania użytkownika do określonej sieci VLAN</w:t>
            </w:r>
          </w:p>
          <w:p w14:paraId="6DDC132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Autoryzacja użytkowników w oparciu o IEEE 802.1X z możliwością dynamicznego przypisania listy ACL</w:t>
            </w:r>
          </w:p>
          <w:p w14:paraId="2ED893D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Obsługa funkcji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VLAN umożliwiająca uzyskanie gościnnego dostępu do sieci dla użytkowników bez suplikanta 802.1X</w:t>
            </w:r>
          </w:p>
          <w:p w14:paraId="45AD827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uwierzytelniania urządzeń na porcie w oparciu o adres MAC</w:t>
            </w:r>
          </w:p>
          <w:p w14:paraId="2C73E342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uwierzytelniania użytkowników w oparciu o portal www dla klientów bez suplikanta 802.1X </w:t>
            </w:r>
          </w:p>
          <w:p w14:paraId="74E21964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uwierzytelniania wielu użytkowników na jednym porcie oraz możliwość jednoczesnego uwierzytelniania na porcie telefonu IP i komputera PC podłączonego za telefonem</w:t>
            </w:r>
          </w:p>
          <w:p w14:paraId="20F4F6EF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.8.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obsługi żądań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Authorization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 zgodnie z RFC 5176</w:t>
            </w:r>
          </w:p>
          <w:p w14:paraId="70B1EDFC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.9.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1500 wpisów dla list kontroli dostępu (Security ACE)</w:t>
            </w:r>
          </w:p>
          <w:p w14:paraId="7503E177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.10.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Funkcjonalność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flexible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(możliwość wyboru kolejności uwierzytelniania – 802.1X/uwierzytelnianie w oparciu o MAC adres/uwierzytelnianie  oparciu o portal www)</w:t>
            </w:r>
          </w:p>
          <w:p w14:paraId="30ED9B6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Obsługa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funkcji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Port Security, DHCP 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Snooping, Dynamic ARP Inspection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IP Source Guard</w:t>
            </w:r>
          </w:p>
          <w:p w14:paraId="26706E8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Zapewnienie podstawowych mechanizmów bezpieczeństwa IPv6 na brzegu sieci (IPv6 FHS) – w tym minimum ochronę przed rozgłaszaniem fałszywych komunikatów Router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Advertisement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(RA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i ochronę przed dołączeniem nieuprawnionych serwerów DHCPv6 do sieci (DHCPv6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4DFBC7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autoryzacji prób logowania do urządzenia (dostęp administracyjny) do serwerów RADIUS i TACACS+</w:t>
            </w:r>
          </w:p>
          <w:p w14:paraId="44C0D1F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list kontroli dostępu (ACL), możliwość konfiguracji tzw. czasowych list ACL (aktywnych w określonych godzinach i dniach tygodnia)</w:t>
            </w:r>
          </w:p>
          <w:p w14:paraId="3444C8C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szyfrowania ruchu zgodnie z IEEE 802.1AE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MACSec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dla wszystkich portów przełącznika (dla połączeń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switch-switch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-host)</w:t>
            </w:r>
          </w:p>
          <w:p w14:paraId="4DD83DE8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Wbudowane mechanizmy ochrony warstwy kontrolnej przełącznika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CoPP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Control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Plane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Policing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8B4070" w14:textId="2CEF2C1A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Funkcja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Private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VLAN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733E8F9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77B16CDC" w14:textId="77777777" w:rsidTr="00370211">
        <w:trPr>
          <w:trHeight w:val="454"/>
        </w:trPr>
        <w:tc>
          <w:tcPr>
            <w:tcW w:w="591" w:type="dxa"/>
          </w:tcPr>
          <w:p w14:paraId="2FA7C86E" w14:textId="77777777" w:rsidR="006B3E82" w:rsidRDefault="006B3E82" w:rsidP="008C7CA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788" w:type="dxa"/>
          </w:tcPr>
          <w:p w14:paraId="52C0E9B8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Technologie umożliwiające zapewnienie autentyczności sprzętu i oprogramowania </w:t>
            </w:r>
          </w:p>
          <w:p w14:paraId="4DD315CE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.1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 Trust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Anchor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Module - odporne na manipulacje, zabezpieczone kryptograficzne, jednoukładowe rozwiązanie zapewniające autentyczność sprzętu w celu jednoznacznej identyfikacji produktu – daje pewność, że produkt jest oryginalny</w:t>
            </w:r>
          </w:p>
          <w:p w14:paraId="35F85122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.2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Boot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zabezpiecza proces sekwencji startowej zapewniając, że mamy niezmieniony sprzęt oraz zapewniając warstwową ochronę przed próbą załadowania nielegalnego/zmodyfikowanego oprogramowania systemowego </w:t>
            </w:r>
          </w:p>
          <w:p w14:paraId="124D6244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.3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.Image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signing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- obrazy podpisane kryptograficznie zapewniają, że oprogramowanie systemowe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), BIOS i inne oprogramowanie są autentyczne i niezmodyfikowane. Podczas uruchamiania systemu sygnatury oprogramowania są sprawdzane pod kątem integralności.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DBF872C" w14:textId="77777777" w:rsidR="006B3E82" w:rsidRPr="002E1E30" w:rsidRDefault="006B3E82" w:rsidP="008C7CA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6307D651" w14:textId="77777777" w:rsidTr="00370211">
        <w:trPr>
          <w:trHeight w:val="454"/>
        </w:trPr>
        <w:tc>
          <w:tcPr>
            <w:tcW w:w="591" w:type="dxa"/>
          </w:tcPr>
          <w:p w14:paraId="094B368C" w14:textId="42B45F47" w:rsidR="003B6A4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788" w:type="dxa"/>
          </w:tcPr>
          <w:p w14:paraId="5144486C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Mechanizmy związane z zapewnieniem jakości usług w sieci:</w:t>
            </w:r>
          </w:p>
          <w:p w14:paraId="439B2CCD" w14:textId="5C86BB4B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Implementacja 8 kolejek dla ruchu wyjściowego na każdym porcie dla obsługi ruchu o różnej klasie obsługi</w:t>
            </w:r>
          </w:p>
          <w:p w14:paraId="33129EF2" w14:textId="2D289C97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Implementacja algorytmu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Shaped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Robin dla obsługi kolejek</w:t>
            </w:r>
          </w:p>
          <w:p w14:paraId="6C688806" w14:textId="0E8E93D7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obsługi jednej z powyżej wspomnianych kolejek z bezwzględnym priorytetem w stosunku do innych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Strict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372D6B" w14:textId="0410E152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Klasyfikacja ruchu do klas różnej jakości obsługi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 poprzez wykorzystanie następujących parametrów: źródłowy/docelowy adres MAC, źródłowy/docelowy adres IP, źródłowy/docelowy port TCP</w:t>
            </w:r>
          </w:p>
          <w:p w14:paraId="3CD61041" w14:textId="2ED75739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ograniczania pasma dostępnego na danym porcie dla ruchu o danej klasie obsługi z dokładnością do 8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Kbps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policing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limiting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B3A51CC" w14:textId="46531A78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Kontrola sztormów dla ruchu </w:t>
            </w:r>
            <w:r w:rsidRPr="00437BE7">
              <w:rPr>
                <w:rFonts w:ascii="Arial" w:hAnsi="Arial" w:cs="Arial"/>
                <w:sz w:val="20"/>
                <w:szCs w:val="20"/>
              </w:rPr>
              <w:lastRenderedPageBreak/>
              <w:t>broadcast/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multicast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unicast</w:t>
            </w:r>
            <w:proofErr w:type="spellEnd"/>
          </w:p>
          <w:p w14:paraId="0760EFA8" w14:textId="7E609603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zmiany przez urządzenie kodu wartości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zawartego w ramce Ethernet lub pakiecie IP – poprzez zmianę pola 802.1p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oraz IP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/DSCP</w:t>
            </w:r>
          </w:p>
          <w:p w14:paraId="25784DC3" w14:textId="6CAA37DE" w:rsidR="003B6A40" w:rsidRPr="00437BE7" w:rsidRDefault="003B6A40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134BEE76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6B8B0BA8" w14:textId="77777777" w:rsidTr="00370211">
        <w:trPr>
          <w:trHeight w:val="454"/>
        </w:trPr>
        <w:tc>
          <w:tcPr>
            <w:tcW w:w="591" w:type="dxa"/>
          </w:tcPr>
          <w:p w14:paraId="123357B0" w14:textId="6825B6F6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788" w:type="dxa"/>
          </w:tcPr>
          <w:p w14:paraId="4DC2E591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protokołów routingu:</w:t>
            </w:r>
          </w:p>
          <w:p w14:paraId="48EDD420" w14:textId="7472BEF0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Routing statyczny dla IPv4 i IPv6</w:t>
            </w:r>
          </w:p>
          <w:p w14:paraId="66EFB168" w14:textId="23F2F96C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Routing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dynamiczny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– RIP, OSPF</w:t>
            </w:r>
          </w:p>
          <w:p w14:paraId="1475BE32" w14:textId="2583FC79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Policy-based routing (PBR)</w:t>
            </w:r>
          </w:p>
          <w:p w14:paraId="040E4EB9" w14:textId="779DB750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protokołu redundancji bramy (VRRP)</w:t>
            </w:r>
          </w:p>
          <w:p w14:paraId="56B7C604" w14:textId="77777777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63346171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5F79B185" w14:textId="77777777" w:rsidTr="00370211">
        <w:trPr>
          <w:trHeight w:val="454"/>
        </w:trPr>
        <w:tc>
          <w:tcPr>
            <w:tcW w:w="591" w:type="dxa"/>
          </w:tcPr>
          <w:p w14:paraId="373980A3" w14:textId="4855D53D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788" w:type="dxa"/>
          </w:tcPr>
          <w:p w14:paraId="3408C69B" w14:textId="0D1B9548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SPAN, RSPAN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FB7F688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4A5627D2" w14:textId="77777777" w:rsidTr="00370211">
        <w:trPr>
          <w:trHeight w:val="454"/>
        </w:trPr>
        <w:tc>
          <w:tcPr>
            <w:tcW w:w="591" w:type="dxa"/>
          </w:tcPr>
          <w:p w14:paraId="6D73CA7E" w14:textId="4B96E6D5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788" w:type="dxa"/>
          </w:tcPr>
          <w:p w14:paraId="0E2C3BD0" w14:textId="75B89787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1FF4DBD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EBCBC19" w14:textId="77777777" w:rsidTr="00370211">
        <w:trPr>
          <w:trHeight w:val="454"/>
        </w:trPr>
        <w:tc>
          <w:tcPr>
            <w:tcW w:w="591" w:type="dxa"/>
          </w:tcPr>
          <w:p w14:paraId="48404360" w14:textId="7DB69C4B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788" w:type="dxa"/>
          </w:tcPr>
          <w:p w14:paraId="6465A5D8" w14:textId="22AEAACB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 uruchamiania skryptów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poprzez Embedded Event Manager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A9845DB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0E445A47" w14:textId="77777777" w:rsidTr="00370211">
        <w:trPr>
          <w:trHeight w:val="454"/>
        </w:trPr>
        <w:tc>
          <w:tcPr>
            <w:tcW w:w="591" w:type="dxa"/>
          </w:tcPr>
          <w:p w14:paraId="71171CC4" w14:textId="0332FF3D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788" w:type="dxa"/>
          </w:tcPr>
          <w:p w14:paraId="572897A9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Zarządzanie</w:t>
            </w:r>
          </w:p>
          <w:p w14:paraId="4B4F1D37" w14:textId="1A73CF15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Port konsoli</w:t>
            </w:r>
          </w:p>
          <w:p w14:paraId="35209342" w14:textId="0044D3EC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Dedykowany port Ethernet do zarządzania out-of-band</w:t>
            </w:r>
          </w:p>
          <w:p w14:paraId="3DBE215F" w14:textId="130108DA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Plik konfiguracyjny urządzenia możliwy do edycji w trybie off-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(możliwość przeglądania i zmian konfiguracji w pliku tekstowym na dowolnym urządzeniu PC). Po zapisaniu konfiguracji w pamięci nieulotnej możliwość uruchomienia urządzenia z nową konfiguracją</w:t>
            </w:r>
          </w:p>
          <w:p w14:paraId="4212FD8C" w14:textId="5DA90204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Obsługa protokołów SNMPv3, SSHv2, SCP,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syslog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z wykorzystaniem protokołów IPv4 i IPv6</w:t>
            </w:r>
          </w:p>
          <w:p w14:paraId="6D95BB00" w14:textId="3F640373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konfiguracji za pomocą protokołu NETCONF (RFC 6241) i modelowania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YANGa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(RFC 6020) oraz eksportowania zdefiniowanych według potrzeb danych do zewnętrznych systemów</w:t>
            </w:r>
          </w:p>
          <w:p w14:paraId="2433D25B" w14:textId="432D0F3F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Przełącznik posiada diodę umożliwiającą identyfikację konkretnego urządzenia podczas akcji serwisowych</w:t>
            </w:r>
          </w:p>
          <w:p w14:paraId="7319C180" w14:textId="73416ACB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Przełącznik posiada wbudowany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RFID w celu łatwiejszego zarządzania infrastrukturą</w:t>
            </w:r>
          </w:p>
          <w:p w14:paraId="3E21408A" w14:textId="49F6265A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.8.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Port USB umożliwiający podłączenie zewnętrznego nośnika danych. Urządzenie ma możliwość uruchomienia z nośnika danych umieszczonego w porcie USB</w:t>
            </w:r>
          </w:p>
          <w:p w14:paraId="1EB78ACF" w14:textId="77777777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0254E791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D0C475B" w14:textId="77777777" w:rsidTr="00370211">
        <w:trPr>
          <w:trHeight w:val="454"/>
        </w:trPr>
        <w:tc>
          <w:tcPr>
            <w:tcW w:w="591" w:type="dxa"/>
          </w:tcPr>
          <w:p w14:paraId="2FAF0CAB" w14:textId="272C6E86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788" w:type="dxa"/>
          </w:tcPr>
          <w:p w14:paraId="6985BE6E" w14:textId="5B98EBD8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montażu w szafie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19”. Wysokość urządzenia 1 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AE778A6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BA07E83" w14:textId="77777777" w:rsidTr="00370211">
        <w:trPr>
          <w:trHeight w:val="454"/>
        </w:trPr>
        <w:tc>
          <w:tcPr>
            <w:tcW w:w="591" w:type="dxa"/>
          </w:tcPr>
          <w:p w14:paraId="7B7E5360" w14:textId="78D18783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788" w:type="dxa"/>
          </w:tcPr>
          <w:p w14:paraId="38518CC7" w14:textId="486B070B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próbkowania i eksportu statystyk ruchu do zewnętrznych kolektorów danych (bez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samplowania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ze wsparciem sprzętowym -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NetFlow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obsługa 16.000 strumieni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B926E5C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4C7EDE88" w14:textId="77777777" w:rsidTr="00370211">
        <w:trPr>
          <w:trHeight w:val="454"/>
        </w:trPr>
        <w:tc>
          <w:tcPr>
            <w:tcW w:w="591" w:type="dxa"/>
          </w:tcPr>
          <w:p w14:paraId="180E96C7" w14:textId="15502B87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788" w:type="dxa"/>
          </w:tcPr>
          <w:p w14:paraId="02BB1A67" w14:textId="4CF8E54F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Wbudowany analizator pakietów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EF0872E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F39992" w14:textId="77777777" w:rsidR="00370211" w:rsidRDefault="00370211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3B0F74" w14:textId="77777777" w:rsidR="00E81D4A" w:rsidRPr="0059651C" w:rsidRDefault="00E81D4A" w:rsidP="00E81D4A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Wykonawca w formularzu ofertowym określa / potwierdza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nazwę,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model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i numer katalogowy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E81D4A">
        <w:rPr>
          <w:rFonts w:ascii="Arial" w:hAnsi="Arial" w:cs="Arial"/>
          <w:strike/>
          <w:sz w:val="22"/>
          <w:szCs w:val="22"/>
        </w:rPr>
        <w:t>numer seryjny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2D6648A9" w14:textId="77777777" w:rsidR="00C523C4" w:rsidRDefault="00C523C4" w:rsidP="0030459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3A4FCA1F" w14:textId="77777777" w:rsidR="001A1B9E" w:rsidRPr="002E1E30" w:rsidRDefault="001A1B9E" w:rsidP="0030459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49D7E869" w14:textId="2914548A" w:rsidR="0030459F" w:rsidRPr="0059651C" w:rsidRDefault="0059651C" w:rsidP="0059651C">
      <w:pPr>
        <w:shd w:val="clear" w:color="auto" w:fill="D9D9D9" w:themeFill="background1" w:themeFillShade="D9"/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u w:val="single"/>
        </w:rPr>
      </w:pPr>
      <w:r>
        <w:rPr>
          <w:rFonts w:ascii="Arial" w:hAnsi="Arial" w:cs="Arial"/>
          <w:b/>
          <w:bCs/>
          <w:position w:val="2"/>
          <w:u w:val="single"/>
        </w:rPr>
        <w:t xml:space="preserve">B. 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>Deklarujemy, że oferowane urządzeni</w:t>
      </w:r>
      <w:r>
        <w:rPr>
          <w:rFonts w:ascii="Arial" w:hAnsi="Arial" w:cs="Arial"/>
          <w:b/>
          <w:bCs/>
          <w:position w:val="2"/>
          <w:u w:val="single"/>
        </w:rPr>
        <w:t>e PUNKTY DOSTĘPOWE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 xml:space="preserve"> spełniają następujące warunki:</w:t>
      </w:r>
    </w:p>
    <w:p w14:paraId="542983DB" w14:textId="77777777" w:rsidR="001A1B9E" w:rsidRPr="0030459F" w:rsidRDefault="001A1B9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</w:p>
    <w:p w14:paraId="7AFBDCA2" w14:textId="0BFBF5DF" w:rsidR="0030459F" w:rsidRPr="0059651C" w:rsidRDefault="0030459F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</w:pPr>
      <w:r w:rsidRPr="0059651C">
        <w:rPr>
          <w:rFonts w:ascii="Arial" w:hAnsi="Arial" w:cs="Arial"/>
          <w:b/>
          <w:bCs/>
          <w:position w:val="2"/>
        </w:rPr>
        <w:t xml:space="preserve">Punkty dostępowe: Nazwa i model </w:t>
      </w:r>
      <w:r w:rsidRPr="0059651C"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  <w:t>………………………………</w:t>
      </w:r>
    </w:p>
    <w:p w14:paraId="50801719" w14:textId="77777777" w:rsidR="001A1B9E" w:rsidRDefault="001A1B9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2151"/>
        <w:gridCol w:w="503"/>
        <w:gridCol w:w="1991"/>
        <w:gridCol w:w="2523"/>
      </w:tblGrid>
      <w:tr w:rsidR="0030459F" w:rsidRPr="0030459F" w14:paraId="0EDEDEB0" w14:textId="77777777" w:rsidTr="001A1B9E">
        <w:trPr>
          <w:trHeight w:val="411"/>
        </w:trPr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DB87" w14:textId="3B177C71" w:rsidR="0030459F" w:rsidRPr="00437BE7" w:rsidRDefault="0030459F" w:rsidP="0030459F">
            <w:pPr>
              <w:ind w:firstLineChars="100" w:firstLine="201"/>
              <w:jc w:val="both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minimalnych wymaganych parametrów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D4B2D" w14:textId="77777777" w:rsidR="0030459F" w:rsidRPr="00742526" w:rsidRDefault="0030459F" w:rsidP="0030459F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5AD9B5C4" w14:textId="77777777" w:rsidR="0030459F" w:rsidRPr="00742526" w:rsidRDefault="0030459F" w:rsidP="0030459F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7B0BCDB0" w14:textId="2A9B5CF2" w:rsidR="0030459F" w:rsidRPr="0030459F" w:rsidRDefault="0030459F" w:rsidP="0030459F">
            <w:pPr>
              <w:ind w:firstLineChars="100" w:firstLine="201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poniższych wymagań</w:t>
            </w:r>
          </w:p>
        </w:tc>
      </w:tr>
      <w:tr w:rsidR="0030459F" w:rsidRPr="00E81D4A" w14:paraId="71C796C0" w14:textId="5A285682" w:rsidTr="001A1B9E">
        <w:trPr>
          <w:trHeight w:val="411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CC1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Autentykacja i bezpieczeństwo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AF6B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Wi-Fi Protected Access - with WPA2 or WPA3, including WPA2-Entperprise authentication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B9516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1E83C173" w14:textId="7DE3615A" w:rsidTr="001A1B9E">
        <w:trPr>
          <w:trHeight w:val="48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3FC2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C0A1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802.1X, RADIUS Authentication, Authorization, and Accounting (AAA)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ABD46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14DF4282" w14:textId="77DBD867" w:rsidTr="001A1B9E">
        <w:trPr>
          <w:trHeight w:val="26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DE7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2871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Segmentation via VLANs (up to 16)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ED8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186BC920" w14:textId="3FEAA65E" w:rsidTr="001A1B9E">
        <w:trPr>
          <w:trHeight w:val="30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554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F8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802.11r and 802.11i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D38D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0E3F1102" w14:textId="38798D82" w:rsidTr="001A1B9E">
        <w:trPr>
          <w:trHeight w:val="39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8DF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1A0C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Guest network can also authenticate against a Social Login account: Google and Facebook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67710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01BB7923" w14:textId="06827B8E" w:rsidTr="001A1B9E">
        <w:trPr>
          <w:trHeight w:val="467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C3A9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Maksymalna ilość klientów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17E6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Maximum number of associated wireless clients: 200 per Wi-Fi radio, for a total of 400 clients per access point, or 1000 in a system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AA8C9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625CDD66" w14:textId="37BA1BAF" w:rsidTr="001A1B9E">
        <w:trPr>
          <w:trHeight w:val="39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1EA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Zarządzanie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B93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Zarządzanie z centralnego systemu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4DB4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26D3EE31" w14:textId="101DBA78" w:rsidTr="001A1B9E">
        <w:trPr>
          <w:trHeight w:val="26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6864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802.11ax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9D457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2x2 downlink MU-MIMO with two spatial streams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74890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68EC0313" w14:textId="63F7944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673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3A98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Uplink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/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downlink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OFDMA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04B1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AA3A40F" w14:textId="224CE53B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82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636D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TWT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2CD4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A7A6FF1" w14:textId="358A8D50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C33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3FBA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BSS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coloring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C129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B7A4E19" w14:textId="2A425DF0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397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A0D3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MRC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A784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A3432CD" w14:textId="45864A6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1B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624F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802.11ax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beamforming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849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C505F35" w14:textId="25A7BA7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8F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3E4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20-, 40-, 80-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A4B5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33C03642" w14:textId="561A1596" w:rsidTr="001A1B9E">
        <w:trPr>
          <w:trHeight w:val="539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B6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D695F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PHY data rates up to 1.488 Gbps (80 MHz with 5 GHz and 20 MHz with 2.4 GHz)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AFD6C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4A3566A5" w14:textId="3D990196" w:rsidTr="001A1B9E">
        <w:trPr>
          <w:trHeight w:val="54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629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677F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Packet aggregation: A-MPDU (transmit and receive), A-MSDU (transmit and receive)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E99CE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495D39CF" w14:textId="43BF442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A3F3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1A39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802.11 DFS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6A7F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8957FA7" w14:textId="6385BA9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A4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DAA9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CSD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41E3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E230B7F" w14:textId="62187C1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0A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2047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WPA3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CB90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0EC7CFF0" w14:textId="6033DA86" w:rsidTr="001A1B9E">
        <w:trPr>
          <w:trHeight w:val="484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A0C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lastRenderedPageBreak/>
              <w:t>802.11ac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78D8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2x2 single-user/multi-user MIMO with two spatial streams, up to 867 Mbps in 5GHz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3265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2EA9F259" w14:textId="50F395E6" w:rsidTr="001A1B9E">
        <w:trPr>
          <w:trHeight w:val="264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485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989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20-, 40-, and 80-MHz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A89C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CAE2245" w14:textId="14143604" w:rsidTr="001A1B9E">
        <w:trPr>
          <w:trHeight w:val="28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A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16A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Dynamic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Frequency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Selection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(DFS)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8FD0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B9EE04B" w14:textId="64C11ED6" w:rsidTr="001A1B9E">
        <w:trPr>
          <w:trHeight w:val="272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5A41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Porty Ethernet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48C8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Autentykacja 802.1X lub filtrowanie MAC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8D14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847BE6C" w14:textId="3611935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7642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8BA1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Dynamiczny VLAN dla portu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D744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39FCCC9B" w14:textId="45737AB3" w:rsidTr="001A1B9E">
        <w:trPr>
          <w:trHeight w:val="23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2CA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B8A7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Traffic locally switched or tunneled back to Master AP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FED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1CFC19A4" w14:textId="2ADC5C52" w:rsidTr="001A1B9E">
        <w:trPr>
          <w:trHeight w:val="27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1F1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Przepustowość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90F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802.11a: 6, 9, 12, 18, 24, 36, 48, i 54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E8F54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64BED984" w14:textId="295D65AE" w:rsidTr="001A1B9E">
        <w:trPr>
          <w:trHeight w:val="273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E1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D1798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802.11b/g: 1, 2, 5.5, 6, 9, 11, 12, 18, 24, 36, 48, i 54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287B8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6C4726C" w14:textId="04ED90F0" w:rsidTr="001A1B9E">
        <w:trPr>
          <w:trHeight w:val="27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78B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D80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802.11n 2.4 GHz: 6.5 do 300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(MCS0-MCS15, HT 20/40)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DFAA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72B2CE81" w14:textId="66E61D6D" w:rsidTr="001A1B9E">
        <w:trPr>
          <w:trHeight w:val="28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4AD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1D706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802.11ac 5 GHz: 6.5 do 867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(MCS0-MCS9)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3DE5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6920F8B4" w14:textId="2075F0EC" w:rsidTr="001A1B9E">
        <w:trPr>
          <w:trHeight w:val="27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61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2123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802.11ax 2.4 &amp; 5GHz: 6.5 do 1200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(MCS0-MCS11)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8597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3661719B" w14:textId="407DDC63" w:rsidTr="001A1B9E">
        <w:trPr>
          <w:trHeight w:val="262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20C0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Zintegrowane anteny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5267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2.4GHz: zysk szczytowy 4dBi, dookólna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CA2D9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504CDEF" w14:textId="4380335A" w:rsidTr="001A1B9E">
        <w:trPr>
          <w:trHeight w:val="28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20FF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EC0B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5GHz: zysk szczytowy 5dBi, dookólna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ED95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7429A4A5" w14:textId="0E24A9B0" w:rsidTr="001A1B9E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0F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Maksymalna ilość nie nakładających się kanałów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F9F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A (A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075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Q (Q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E789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13B6DD61" w14:textId="07B40BE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E45C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C1A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C51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A2D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9295D1D" w14:textId="4FFF0613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7EA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5B4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C2D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8F1F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9911C3A" w14:textId="5787CCF3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056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A93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B0E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E6AE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30B90E23" w14:textId="7CE81DF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D1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4C6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excludes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5.600 to 5.640 GHz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60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R (R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1BAA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D4DD053" w14:textId="5BF3A975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156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FAB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F51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8DE4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5429221" w14:textId="2833E51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A6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EFCB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B (B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107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9B8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4B5CF1F" w14:textId="7545BE5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EC74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1C1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AB9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5.660 to 5.700 GHz; 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4E47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EAAFCDB" w14:textId="43DD1AEB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972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8FA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ACC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5.805 GHz; 4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E8EF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1ADD5749" w14:textId="0A9FCBF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39D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F17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5.720 GHz; 12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05B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Z (Z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1611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4CC17D3C" w14:textId="45D72B7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562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C65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164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3CB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3483C290" w14:textId="6CA21E4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4AE7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D2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E (E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4ED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90C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79DA271" w14:textId="79CBA7E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EA6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2DF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073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5876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6A4855F" w14:textId="2A57B09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C49C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5C4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E8A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excludes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5.600 to 5.640 GHz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F541A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0F46EF8" w14:textId="29EA0D7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7AD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7D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8FF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4360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7BECDF3" w14:textId="096A5433" w:rsidTr="001A1B9E">
        <w:trPr>
          <w:trHeight w:val="6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F15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865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I (I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AB19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CDE96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428C110F" w14:textId="07640F94" w:rsidTr="001A1B9E">
        <w:trPr>
          <w:trHeight w:val="57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C47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ACE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B8B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64BED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62F72555" w14:textId="008B8E8E" w:rsidTr="001A1B9E">
        <w:trPr>
          <w:trHeight w:val="57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85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AE9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6F50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88DB2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168A5208" w14:textId="68908A4E" w:rsidTr="001A1B9E">
        <w:trPr>
          <w:trHeight w:val="25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137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Dostępna moc nadajnika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3B3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2.4 GHz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652E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5 GHz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6B0DB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6CFA493" w14:textId="5D8B85F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8D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42A8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do 20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2176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do 20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F4EB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47B6136B" w14:textId="169B913C" w:rsidTr="001A1B9E">
        <w:trPr>
          <w:trHeight w:val="80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D25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Interfejsy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9418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 xml:space="preserve">●  1x Gigabit Ethernet (10/100/1000BASE-T auto </w:t>
            </w:r>
            <w:proofErr w:type="spellStart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negocjacja</w:t>
            </w:r>
            <w:proofErr w:type="spellEnd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), Power over Ethernet (PoE)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F5A99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386A154C" w14:textId="72E39B70" w:rsidTr="001A1B9E">
        <w:trPr>
          <w:trHeight w:val="278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3BA4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System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DF76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1 GB DRAM, 512MB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EFB3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83983C6" w14:textId="3F876908" w:rsidTr="001A1B9E">
        <w:trPr>
          <w:trHeight w:val="28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262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6E84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1GHz quad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core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536C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B334588" w14:textId="36A2D565" w:rsidTr="001A1B9E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FB34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Zasilanie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BD2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Zasilanie z POE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1558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13B9731" w14:textId="229A69EB" w:rsidTr="001A1B9E">
        <w:trPr>
          <w:trHeight w:val="300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8B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091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IEEE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standards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225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1D53D42" w14:textId="1CD8C990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27D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E6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95E3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6AED182" w14:textId="396174EC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04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A15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802.3ab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F59F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F26A7C2" w14:textId="2FBC8ACB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5D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1161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802.3af/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54AA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252CAC24" w14:textId="04AE2916" w:rsidTr="001A1B9E">
        <w:trPr>
          <w:trHeight w:val="32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81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2607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IEEE 802.11a/b/g/n/</w:t>
            </w:r>
            <w:proofErr w:type="spellStart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ac</w:t>
            </w:r>
            <w:proofErr w:type="spellEnd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/ax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F5DA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56F4DB35" w14:textId="2A668343" w:rsidTr="001A1B9E">
        <w:trPr>
          <w:trHeight w:val="26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380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07D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802.11h, 802.11d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67DBA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BBFB4D4" w14:textId="0ED220FD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61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C0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Security: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84A4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1972620" w14:textId="26563A65" w:rsidTr="001A1B9E">
        <w:trPr>
          <w:trHeight w:val="24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9F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082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802.11i, WPA2, WAP3, WPA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AFBCC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587A8CF" w14:textId="216AA969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E8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71F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802.1X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1F4FE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9D4270E" w14:textId="44507191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0C8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7BA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AES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917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E81D4A" w14:paraId="320ADE7C" w14:textId="6BD6F24C" w:rsidTr="001A1B9E">
        <w:trPr>
          <w:trHeight w:val="411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342D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985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Extensible Authentication Protocol (EAP) types: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A4CE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35BA54A1" w14:textId="7C0577DC" w:rsidTr="001A1B9E">
        <w:trPr>
          <w:trHeight w:val="411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573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4C8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EAP-Transport Layer Security (TLS)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41E5E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5B54286E" w14:textId="7C9DE844" w:rsidTr="001A1B9E">
        <w:trPr>
          <w:trHeight w:val="63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7243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6302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EAP-Tunneled TLS (TTLS) or Microsoft Challenge Handshake Authentication Protocol Version 2 (MSCHAPv2)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47D1A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5EA784D5" w14:textId="68A026C9" w:rsidTr="001A1B9E">
        <w:trPr>
          <w:trHeight w:val="48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298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CADD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Protected EAP (PEAP) v0 or EAP-MSCHAPv2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CCCC7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7C6BFBB0" w14:textId="1748CD61" w:rsidTr="001A1B9E">
        <w:trPr>
          <w:trHeight w:val="55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C5A8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958D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EAP-Flexible Authentication via Secure Tunneling (FAST)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BC8F8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0AA4B010" w14:textId="7C59BDEA" w:rsidTr="001A1B9E">
        <w:trPr>
          <w:trHeight w:val="559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9B5A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B4D3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PEAP v1 or EAP-Generic Token Card (GTC)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7A276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E81D4A" w14:paraId="59756E01" w14:textId="00804470" w:rsidTr="001A1B9E">
        <w:trPr>
          <w:trHeight w:val="567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0C22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7424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EAP-Subscriber Identity Module (SIM)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E3FAC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2CD58A17" w14:textId="2A6D9229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FFB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CE1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Multimedia: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D0AA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124FAF6" w14:textId="65DFA29B" w:rsidTr="001A1B9E">
        <w:trPr>
          <w:trHeight w:val="38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05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A216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Wi-Fi Multimedia (WMM)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DF5A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5F34595" w14:textId="48756C8B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875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C937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RSS-102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1F3C6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</w:tbl>
    <w:p w14:paraId="403A9C07" w14:textId="77777777" w:rsidR="00370211" w:rsidRDefault="00370211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CC9CC5" w14:textId="77777777" w:rsidR="00E81D4A" w:rsidRPr="0059651C" w:rsidRDefault="00E81D4A" w:rsidP="00E81D4A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Wykonawca w formularzu ofertowym określa / potwierdza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nazwę,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model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i numer katalogowy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E81D4A">
        <w:rPr>
          <w:rFonts w:ascii="Arial" w:hAnsi="Arial" w:cs="Arial"/>
          <w:strike/>
          <w:sz w:val="22"/>
          <w:szCs w:val="22"/>
        </w:rPr>
        <w:t>numer seryjny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67C3ED62" w14:textId="77777777" w:rsidR="00C523C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407B3250" w14:textId="77777777" w:rsidR="0026307C" w:rsidRDefault="0026307C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124CDE6C" w14:textId="1D051A05" w:rsidR="005E0E5D" w:rsidRPr="00C523C4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523C4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C523C4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C523C4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C523C4">
        <w:rPr>
          <w:rFonts w:ascii="Arial" w:hAnsi="Arial" w:cs="Arial"/>
          <w:bCs/>
          <w:sz w:val="20"/>
          <w:szCs w:val="20"/>
        </w:rPr>
        <w:t xml:space="preserve">łem </w:t>
      </w:r>
      <w:r w:rsidRPr="00C523C4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C523C4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pozyskał</w:t>
      </w:r>
      <w:r w:rsidR="005E0E5D" w:rsidRPr="00C523C4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C523C4">
        <w:rPr>
          <w:rFonts w:ascii="Arial" w:hAnsi="Arial" w:cs="Arial"/>
          <w:bCs/>
          <w:sz w:val="20"/>
          <w:szCs w:val="20"/>
        </w:rPr>
        <w:t>;</w:t>
      </w:r>
      <w:r w:rsidR="005E0E5D" w:rsidRPr="00C523C4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C523C4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zapoznał</w:t>
      </w:r>
      <w:r w:rsidR="005E0E5D" w:rsidRPr="00C523C4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uważa</w:t>
      </w:r>
      <w:r w:rsidR="005E0E5D" w:rsidRPr="00C523C4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C523C4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zobowią</w:t>
      </w:r>
      <w:r w:rsidR="00F97F6F" w:rsidRPr="00C523C4">
        <w:rPr>
          <w:rFonts w:ascii="Arial" w:hAnsi="Arial" w:cs="Arial"/>
          <w:sz w:val="20"/>
          <w:szCs w:val="20"/>
        </w:rPr>
        <w:t xml:space="preserve">zuj </w:t>
      </w:r>
      <w:r w:rsidRPr="00C523C4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C523C4">
        <w:rPr>
          <w:rFonts w:ascii="Arial" w:hAnsi="Arial" w:cs="Arial"/>
          <w:sz w:val="20"/>
          <w:szCs w:val="20"/>
        </w:rPr>
        <w:t>;</w:t>
      </w:r>
      <w:r w:rsidRPr="00C523C4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C523C4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akceptuje</w:t>
      </w:r>
      <w:r w:rsidR="005E0E5D" w:rsidRPr="00C523C4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C523C4">
        <w:rPr>
          <w:rFonts w:ascii="Arial" w:hAnsi="Arial" w:cs="Arial"/>
          <w:sz w:val="20"/>
          <w:szCs w:val="20"/>
        </w:rPr>
        <w:t>d</w:t>
      </w:r>
      <w:r w:rsidR="005E0E5D" w:rsidRPr="00C523C4">
        <w:rPr>
          <w:rFonts w:ascii="Arial" w:hAnsi="Arial" w:cs="Arial"/>
          <w:sz w:val="20"/>
          <w:szCs w:val="20"/>
        </w:rPr>
        <w:t>okumentacji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  <w:r w:rsidR="005E0E5D" w:rsidRPr="00C523C4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wypełnił</w:t>
      </w:r>
      <w:r w:rsidR="005E0E5D" w:rsidRPr="00C523C4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C523C4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C523C4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C523C4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C523C4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C523C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523C4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409D9FB0" w:rsidR="005E0E5D" w:rsidRPr="00C523C4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nie będzie</w:t>
      </w:r>
      <w:r w:rsidRPr="00C523C4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C523C4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 xml:space="preserve"> będzie </w:t>
      </w:r>
      <w:r w:rsidRPr="00C523C4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C523C4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C523C4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C523C4">
        <w:rPr>
          <w:rFonts w:ascii="Arial" w:hAnsi="Arial" w:cs="Arial"/>
          <w:iCs/>
          <w:sz w:val="20"/>
          <w:szCs w:val="20"/>
        </w:rPr>
        <w:t xml:space="preserve">(należy wskazać nazwę (rodzaj) towaru lub usługi, których dostawa lub świadczenie będzie prowadzić do powstania takiego obowiązku podatkowego o wartości ………………………………. zł neto (należy </w:t>
      </w:r>
      <w:r w:rsidRPr="00C523C4">
        <w:rPr>
          <w:rFonts w:ascii="Arial" w:hAnsi="Arial" w:cs="Arial"/>
          <w:iCs/>
          <w:sz w:val="20"/>
          <w:szCs w:val="20"/>
        </w:rPr>
        <w:lastRenderedPageBreak/>
        <w:t>wskazać wartość tego towaru lub usługi bez kwoty podatku od towarów i usług)</w:t>
      </w:r>
    </w:p>
    <w:p w14:paraId="1EAE78DA" w14:textId="51722905" w:rsidR="0038027B" w:rsidRPr="00C523C4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C523C4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C523C4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C523C4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Wniosłem wymagane wadium w wyso</w:t>
      </w:r>
      <w:r w:rsidR="00F97F6F" w:rsidRPr="00C523C4">
        <w:rPr>
          <w:rFonts w:ascii="Arial" w:hAnsi="Arial" w:cs="Arial"/>
          <w:sz w:val="20"/>
          <w:szCs w:val="20"/>
        </w:rPr>
        <w:t xml:space="preserve">kości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C523C4">
        <w:rPr>
          <w:rFonts w:ascii="Arial" w:hAnsi="Arial" w:cs="Arial"/>
          <w:sz w:val="20"/>
          <w:szCs w:val="20"/>
        </w:rPr>
        <w:t xml:space="preserve"> PLN</w:t>
      </w:r>
      <w:r w:rsidRPr="00C523C4">
        <w:rPr>
          <w:rFonts w:ascii="Arial" w:hAnsi="Arial" w:cs="Arial"/>
          <w:sz w:val="20"/>
          <w:szCs w:val="20"/>
        </w:rPr>
        <w:t xml:space="preserve"> w formie</w:t>
      </w:r>
      <w:r w:rsidR="00F97F6F" w:rsidRPr="00C523C4">
        <w:rPr>
          <w:rFonts w:ascii="Arial" w:hAnsi="Arial" w:cs="Arial"/>
          <w:sz w:val="20"/>
          <w:szCs w:val="20"/>
        </w:rPr>
        <w:t xml:space="preserve">: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C523C4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C523C4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C523C4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C523C4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C523C4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C523C4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C523C4">
        <w:rPr>
          <w:rFonts w:ascii="Arial" w:hAnsi="Arial" w:cs="Arial"/>
          <w:sz w:val="20"/>
          <w:szCs w:val="20"/>
        </w:rPr>
        <w:t xml:space="preserve"> e-m</w:t>
      </w:r>
      <w:r w:rsidR="00F97F6F" w:rsidRPr="00C523C4">
        <w:rPr>
          <w:rFonts w:ascii="Arial" w:hAnsi="Arial" w:cs="Arial"/>
          <w:sz w:val="20"/>
          <w:szCs w:val="20"/>
        </w:rPr>
        <w:t xml:space="preserve">ail: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C523C4">
        <w:rPr>
          <w:rFonts w:ascii="Arial" w:hAnsi="Arial" w:cs="Arial"/>
          <w:sz w:val="20"/>
          <w:szCs w:val="20"/>
        </w:rPr>
        <w:t>, tel.: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C523C4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C523C4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Zamówienie zrealizuję </w:t>
      </w:r>
      <w:r w:rsidRPr="00C523C4">
        <w:rPr>
          <w:rFonts w:ascii="Arial" w:hAnsi="Arial" w:cs="Arial"/>
          <w:b/>
          <w:sz w:val="20"/>
          <w:szCs w:val="20"/>
        </w:rPr>
        <w:t>sam*</w:t>
      </w:r>
      <w:r w:rsidRPr="00C523C4">
        <w:rPr>
          <w:rFonts w:ascii="Arial" w:hAnsi="Arial" w:cs="Arial"/>
          <w:sz w:val="20"/>
          <w:szCs w:val="20"/>
        </w:rPr>
        <w:t xml:space="preserve"> / </w:t>
      </w:r>
      <w:r w:rsidRPr="00C523C4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C523C4">
        <w:rPr>
          <w:rFonts w:ascii="Arial" w:hAnsi="Arial" w:cs="Arial"/>
          <w:i/>
          <w:sz w:val="18"/>
          <w:szCs w:val="18"/>
        </w:rPr>
        <w:t xml:space="preserve">( </w:t>
      </w:r>
      <w:r w:rsidRPr="00C523C4">
        <w:rPr>
          <w:rFonts w:ascii="Arial" w:hAnsi="Arial" w:cs="Arial"/>
          <w:b/>
          <w:i/>
          <w:sz w:val="18"/>
          <w:szCs w:val="18"/>
        </w:rPr>
        <w:t>*</w:t>
      </w:r>
      <w:r w:rsidRPr="00C523C4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C523C4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C523C4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C523C4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C523C4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C523C4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C523C4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podać </w:t>
      </w:r>
      <w:r w:rsidR="00F97F6F" w:rsidRPr="00C523C4">
        <w:rPr>
          <w:rFonts w:ascii="Arial" w:hAnsi="Arial" w:cs="Arial"/>
          <w:sz w:val="20"/>
          <w:szCs w:val="20"/>
        </w:rPr>
        <w:t>osoby (podmioty)</w:t>
      </w:r>
      <w:r w:rsidRPr="00C523C4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C523C4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C523C4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Informacje zawarte na stronach od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C523C4">
        <w:rPr>
          <w:rFonts w:ascii="Arial" w:hAnsi="Arial" w:cs="Arial"/>
          <w:sz w:val="20"/>
          <w:szCs w:val="20"/>
        </w:rPr>
        <w:t xml:space="preserve">do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C523C4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C523C4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C523C4">
        <w:rPr>
          <w:rFonts w:ascii="Arial" w:hAnsi="Arial" w:cs="Arial"/>
          <w:bCs/>
          <w:sz w:val="20"/>
          <w:szCs w:val="20"/>
        </w:rPr>
        <w:t>wej konkurencji (t.</w:t>
      </w:r>
      <w:r w:rsidRPr="00C523C4">
        <w:rPr>
          <w:rFonts w:ascii="Arial" w:hAnsi="Arial" w:cs="Arial"/>
          <w:bCs/>
          <w:sz w:val="20"/>
          <w:szCs w:val="20"/>
        </w:rPr>
        <w:t>: Dz. U. z 202</w:t>
      </w:r>
      <w:r w:rsidR="0038269A" w:rsidRPr="00C523C4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C523C4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C523C4">
        <w:rPr>
          <w:rFonts w:ascii="Arial" w:hAnsi="Arial" w:cs="Arial"/>
          <w:bCs/>
          <w:sz w:val="20"/>
          <w:szCs w:val="20"/>
        </w:rPr>
        <w:t>.</w:t>
      </w:r>
      <w:r w:rsidRPr="00C523C4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C523C4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C523C4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  <w:u w:val="single"/>
        </w:rPr>
        <w:t>UWAGA:</w:t>
      </w:r>
      <w:r w:rsidRPr="00C523C4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C523C4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C523C4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C523C4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C523C4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C523C4">
        <w:rPr>
          <w:rFonts w:ascii="Arial" w:hAnsi="Arial" w:cs="Arial"/>
          <w:sz w:val="20"/>
          <w:szCs w:val="20"/>
        </w:rPr>
        <w:t>Wykonawca jest:</w:t>
      </w:r>
      <w:r w:rsidR="0038027B" w:rsidRPr="00C523C4">
        <w:rPr>
          <w:rFonts w:ascii="Arial" w:hAnsi="Arial" w:cs="Arial"/>
          <w:sz w:val="20"/>
          <w:szCs w:val="20"/>
        </w:rPr>
        <w:t xml:space="preserve"> *  </w:t>
      </w:r>
      <w:r w:rsidR="0038027B" w:rsidRPr="00C523C4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C523C4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C523C4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C523C4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C523C4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C523C4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Mikroprzedsiębiorstwo:</w:t>
      </w:r>
      <w:r w:rsidRPr="00C523C4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Małe przedsiębiorstwo</w:t>
      </w:r>
      <w:r w:rsidRPr="00C523C4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Średnie przedsiębiorstwo:</w:t>
      </w:r>
      <w:r w:rsidRPr="00C523C4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</w:t>
      </w:r>
      <w:r w:rsidRPr="00C523C4">
        <w:rPr>
          <w:rFonts w:ascii="Arial" w:hAnsi="Arial" w:cs="Arial"/>
          <w:sz w:val="20"/>
          <w:szCs w:val="20"/>
        </w:rPr>
        <w:lastRenderedPageBreak/>
        <w:t>euro lub roczna suma bilansowa nie przekracza 43 mln euro)</w:t>
      </w:r>
    </w:p>
    <w:p w14:paraId="22076C6E" w14:textId="77777777" w:rsidR="005E0E5D" w:rsidRPr="00C523C4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C523C4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C523C4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C523C4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C523C4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C523C4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C523C4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C523C4">
        <w:rPr>
          <w:rFonts w:ascii="Arial" w:hAnsi="Arial" w:cs="Arial"/>
          <w:bCs/>
          <w:iCs/>
          <w:sz w:val="20"/>
          <w:szCs w:val="20"/>
        </w:rPr>
        <w:t>.</w:t>
      </w:r>
      <w:bookmarkEnd w:id="3"/>
    </w:p>
    <w:sectPr w:rsidR="00F335E8" w:rsidRPr="00C523C4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D5D5E"/>
    <w:rsid w:val="000D6AB4"/>
    <w:rsid w:val="000E1EA9"/>
    <w:rsid w:val="000E2EB6"/>
    <w:rsid w:val="000E4C81"/>
    <w:rsid w:val="000E5ACF"/>
    <w:rsid w:val="000E7929"/>
    <w:rsid w:val="0010252D"/>
    <w:rsid w:val="00111932"/>
    <w:rsid w:val="00120F81"/>
    <w:rsid w:val="0013700C"/>
    <w:rsid w:val="00154890"/>
    <w:rsid w:val="001605DA"/>
    <w:rsid w:val="001671D6"/>
    <w:rsid w:val="001712DB"/>
    <w:rsid w:val="00171E36"/>
    <w:rsid w:val="00172B32"/>
    <w:rsid w:val="001775FD"/>
    <w:rsid w:val="001776C7"/>
    <w:rsid w:val="001A1B9E"/>
    <w:rsid w:val="001A61D2"/>
    <w:rsid w:val="001B7C8D"/>
    <w:rsid w:val="001C38AC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C2AEE"/>
    <w:rsid w:val="002E1E30"/>
    <w:rsid w:val="002F1703"/>
    <w:rsid w:val="002F38BD"/>
    <w:rsid w:val="002F4FA4"/>
    <w:rsid w:val="002F5188"/>
    <w:rsid w:val="0030459F"/>
    <w:rsid w:val="00312CC4"/>
    <w:rsid w:val="00323693"/>
    <w:rsid w:val="003350DA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B6A40"/>
    <w:rsid w:val="003C41F1"/>
    <w:rsid w:val="003D4447"/>
    <w:rsid w:val="00405106"/>
    <w:rsid w:val="004136BB"/>
    <w:rsid w:val="0041592F"/>
    <w:rsid w:val="004274CE"/>
    <w:rsid w:val="00431714"/>
    <w:rsid w:val="0043483B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469A3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D00D5"/>
    <w:rsid w:val="006D0C14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42526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0E0A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91065"/>
    <w:rsid w:val="00C92130"/>
    <w:rsid w:val="00C926CA"/>
    <w:rsid w:val="00C93D8E"/>
    <w:rsid w:val="00CA0BB6"/>
    <w:rsid w:val="00CA642F"/>
    <w:rsid w:val="00CB0457"/>
    <w:rsid w:val="00CD37FE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1D4A"/>
    <w:rsid w:val="00E83469"/>
    <w:rsid w:val="00EB0691"/>
    <w:rsid w:val="00EB5C5E"/>
    <w:rsid w:val="00ED1226"/>
    <w:rsid w:val="00ED232E"/>
    <w:rsid w:val="00EE2B94"/>
    <w:rsid w:val="00EE64D7"/>
    <w:rsid w:val="00EE6869"/>
    <w:rsid w:val="00F07442"/>
    <w:rsid w:val="00F160B1"/>
    <w:rsid w:val="00F249DD"/>
    <w:rsid w:val="00F262C6"/>
    <w:rsid w:val="00F31C4C"/>
    <w:rsid w:val="00F32633"/>
    <w:rsid w:val="00F335E8"/>
    <w:rsid w:val="00F5376D"/>
    <w:rsid w:val="00F54669"/>
    <w:rsid w:val="00F61753"/>
    <w:rsid w:val="00F7053D"/>
    <w:rsid w:val="00F739C5"/>
    <w:rsid w:val="00F75AFD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19</Pages>
  <Words>5614</Words>
  <Characters>33684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27</cp:revision>
  <cp:lastPrinted>2023-06-30T12:34:00Z</cp:lastPrinted>
  <dcterms:created xsi:type="dcterms:W3CDTF">2023-06-21T04:51:00Z</dcterms:created>
  <dcterms:modified xsi:type="dcterms:W3CDTF">2023-07-10T06:35:00Z</dcterms:modified>
</cp:coreProperties>
</file>