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CF0D" w14:textId="77777777" w:rsidR="003B074D" w:rsidRDefault="003B074D" w:rsidP="00A37A7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Szanowni Państwo,</w:t>
      </w:r>
    </w:p>
    <w:p w14:paraId="21FC0099" w14:textId="77777777" w:rsidR="003B074D" w:rsidRDefault="003B074D" w:rsidP="00A37A7F">
      <w:pPr>
        <w:jc w:val="both"/>
        <w:rPr>
          <w:rFonts w:ascii="Montserrat" w:hAnsi="Montserrat"/>
          <w:sz w:val="20"/>
          <w:szCs w:val="20"/>
        </w:rPr>
      </w:pPr>
    </w:p>
    <w:p w14:paraId="7CCB0238" w14:textId="77777777" w:rsidR="003B074D" w:rsidRDefault="003B074D" w:rsidP="00A37A7F">
      <w:pPr>
        <w:jc w:val="both"/>
        <w:rPr>
          <w:rFonts w:ascii="Montserrat" w:hAnsi="Montserrat"/>
          <w:sz w:val="20"/>
          <w:szCs w:val="20"/>
        </w:rPr>
      </w:pPr>
    </w:p>
    <w:p w14:paraId="57BCE2F2" w14:textId="4ADE62F3" w:rsidR="00A37A7F" w:rsidRPr="007944FB" w:rsidRDefault="00291AA7" w:rsidP="00A37A7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Zakład Utylizacyjny Sp. z o.o. </w:t>
      </w:r>
      <w:r w:rsidR="003B074D">
        <w:rPr>
          <w:rFonts w:ascii="Montserrat" w:hAnsi="Montserrat"/>
          <w:sz w:val="20"/>
          <w:szCs w:val="20"/>
        </w:rPr>
        <w:t xml:space="preserve">zleci wykonanie dokumentu o roboczej nazwie: </w:t>
      </w:r>
      <w:r w:rsidR="00A37A7F" w:rsidRPr="007944FB">
        <w:rPr>
          <w:rFonts w:ascii="Montserrat" w:hAnsi="Montserrat"/>
          <w:sz w:val="20"/>
          <w:szCs w:val="20"/>
        </w:rPr>
        <w:t>„Analiz</w:t>
      </w:r>
      <w:r w:rsidR="003B074D">
        <w:rPr>
          <w:rFonts w:ascii="Montserrat" w:hAnsi="Montserrat"/>
          <w:sz w:val="20"/>
          <w:szCs w:val="20"/>
        </w:rPr>
        <w:t>a</w:t>
      </w:r>
      <w:r w:rsidR="00A37A7F" w:rsidRPr="007944FB">
        <w:rPr>
          <w:rFonts w:ascii="Montserrat" w:hAnsi="Montserrat"/>
          <w:sz w:val="20"/>
          <w:szCs w:val="20"/>
        </w:rPr>
        <w:t xml:space="preserve"> dopuszczalności konsolidacji Spółek Port Czystej Energii Sp. z o.o. i Zakład Utylizacyjny Sp. z o.o. wraz ze wskazaniem rekomendowanego modelu konsolidacji z uwzględnieniem aspektów prawnych, podatkowych i ekonomicznych</w:t>
      </w:r>
      <w:r w:rsidR="003B074D">
        <w:rPr>
          <w:rFonts w:ascii="Montserrat" w:hAnsi="Montserrat"/>
          <w:sz w:val="20"/>
          <w:szCs w:val="20"/>
        </w:rPr>
        <w:t xml:space="preserve"> –</w:t>
      </w:r>
      <w:r>
        <w:rPr>
          <w:rFonts w:ascii="Montserrat" w:hAnsi="Montserrat"/>
          <w:sz w:val="20"/>
          <w:szCs w:val="20"/>
        </w:rPr>
        <w:t xml:space="preserve"> </w:t>
      </w:r>
      <w:r w:rsidR="003B074D">
        <w:rPr>
          <w:rFonts w:ascii="Montserrat" w:hAnsi="Montserrat"/>
          <w:sz w:val="20"/>
          <w:szCs w:val="20"/>
        </w:rPr>
        <w:t xml:space="preserve">z badaniem </w:t>
      </w:r>
      <w:proofErr w:type="spellStart"/>
      <w:r w:rsidR="003B074D">
        <w:rPr>
          <w:rFonts w:ascii="Montserrat" w:hAnsi="Montserrat"/>
          <w:sz w:val="20"/>
          <w:szCs w:val="20"/>
        </w:rPr>
        <w:t>Due</w:t>
      </w:r>
      <w:proofErr w:type="spellEnd"/>
      <w:r w:rsidR="003B074D">
        <w:rPr>
          <w:rFonts w:ascii="Montserrat" w:hAnsi="Montserrat"/>
          <w:sz w:val="20"/>
          <w:szCs w:val="20"/>
        </w:rPr>
        <w:t xml:space="preserve"> </w:t>
      </w:r>
      <w:proofErr w:type="spellStart"/>
      <w:r w:rsidR="003B074D">
        <w:rPr>
          <w:rFonts w:ascii="Montserrat" w:hAnsi="Montserrat"/>
          <w:sz w:val="20"/>
          <w:szCs w:val="20"/>
        </w:rPr>
        <w:t>Diligence</w:t>
      </w:r>
      <w:proofErr w:type="spellEnd"/>
      <w:r w:rsidR="003B074D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Zakładu Utylizacyjnego</w:t>
      </w:r>
      <w:r w:rsidR="003B074D">
        <w:rPr>
          <w:rFonts w:ascii="Montserrat" w:hAnsi="Montserrat"/>
          <w:sz w:val="20"/>
          <w:szCs w:val="20"/>
        </w:rPr>
        <w:t xml:space="preserve"> Sp. z o.o.</w:t>
      </w:r>
      <w:r w:rsidR="00A37A7F" w:rsidRPr="007944FB">
        <w:rPr>
          <w:rFonts w:ascii="Montserrat" w:hAnsi="Montserrat"/>
          <w:sz w:val="20"/>
          <w:szCs w:val="20"/>
        </w:rPr>
        <w:t>”</w:t>
      </w:r>
    </w:p>
    <w:p w14:paraId="62708412" w14:textId="77777777" w:rsidR="00A37A7F" w:rsidRPr="007944FB" w:rsidRDefault="00A37A7F" w:rsidP="00A37A7F">
      <w:pPr>
        <w:jc w:val="both"/>
        <w:rPr>
          <w:rFonts w:ascii="Montserrat" w:hAnsi="Montserrat"/>
          <w:sz w:val="20"/>
          <w:szCs w:val="20"/>
        </w:rPr>
      </w:pPr>
    </w:p>
    <w:p w14:paraId="08680E3F" w14:textId="03970B46" w:rsidR="00BA5061" w:rsidRPr="007944FB" w:rsidRDefault="003B074D" w:rsidP="00A37A7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Oczekujemy, aby</w:t>
      </w:r>
      <w:r w:rsidR="00BA5061" w:rsidRPr="007944FB">
        <w:rPr>
          <w:rFonts w:ascii="Montserrat" w:hAnsi="Montserrat"/>
          <w:sz w:val="20"/>
          <w:szCs w:val="20"/>
        </w:rPr>
        <w:t xml:space="preserve"> opracowanie składało się z </w:t>
      </w:r>
      <w:r>
        <w:rPr>
          <w:rFonts w:ascii="Montserrat" w:hAnsi="Montserrat"/>
          <w:sz w:val="20"/>
          <w:szCs w:val="20"/>
        </w:rPr>
        <w:t>trzech</w:t>
      </w:r>
      <w:r w:rsidR="00BA5061" w:rsidRPr="007944FB">
        <w:rPr>
          <w:rFonts w:ascii="Montserrat" w:hAnsi="Montserrat"/>
          <w:sz w:val="20"/>
          <w:szCs w:val="20"/>
        </w:rPr>
        <w:t xml:space="preserve"> głównych </w:t>
      </w:r>
      <w:r w:rsidR="007944FB">
        <w:rPr>
          <w:rFonts w:ascii="Montserrat" w:hAnsi="Montserrat"/>
          <w:sz w:val="20"/>
          <w:szCs w:val="20"/>
        </w:rPr>
        <w:t>C</w:t>
      </w:r>
      <w:r w:rsidR="00BA5061" w:rsidRPr="007944FB">
        <w:rPr>
          <w:rFonts w:ascii="Montserrat" w:hAnsi="Montserrat"/>
          <w:sz w:val="20"/>
          <w:szCs w:val="20"/>
        </w:rPr>
        <w:t>zęści:</w:t>
      </w:r>
    </w:p>
    <w:p w14:paraId="18109D54" w14:textId="77777777" w:rsidR="00BA5061" w:rsidRPr="007944FB" w:rsidRDefault="00BA5061" w:rsidP="00A37A7F">
      <w:pPr>
        <w:jc w:val="both"/>
        <w:rPr>
          <w:rFonts w:ascii="Montserrat" w:hAnsi="Montserrat"/>
          <w:sz w:val="20"/>
          <w:szCs w:val="20"/>
        </w:rPr>
      </w:pPr>
    </w:p>
    <w:p w14:paraId="2E08CA20" w14:textId="00A91BCB" w:rsidR="003B074D" w:rsidRDefault="003B074D" w:rsidP="002D4B2B">
      <w:pPr>
        <w:pStyle w:val="Akapitzlist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Due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Diligence</w:t>
      </w:r>
      <w:proofErr w:type="spellEnd"/>
      <w:r>
        <w:rPr>
          <w:rFonts w:ascii="Montserrat" w:hAnsi="Montserrat"/>
          <w:sz w:val="20"/>
          <w:szCs w:val="20"/>
        </w:rPr>
        <w:t xml:space="preserve"> prawne </w:t>
      </w:r>
      <w:r w:rsidR="00291AA7">
        <w:rPr>
          <w:rFonts w:ascii="Montserrat" w:hAnsi="Montserrat"/>
          <w:sz w:val="20"/>
          <w:szCs w:val="20"/>
        </w:rPr>
        <w:t>Zakładu Utylizacyjnego</w:t>
      </w:r>
      <w:r>
        <w:rPr>
          <w:rFonts w:ascii="Montserrat" w:hAnsi="Montserrat"/>
          <w:sz w:val="20"/>
          <w:szCs w:val="20"/>
        </w:rPr>
        <w:t xml:space="preserve"> Sp. z o.o.</w:t>
      </w:r>
    </w:p>
    <w:p w14:paraId="510BF539" w14:textId="665C461F" w:rsidR="003B074D" w:rsidRDefault="003B074D" w:rsidP="002D4B2B">
      <w:pPr>
        <w:pStyle w:val="Akapitzlist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Analiza prawnych, podatkowych i ekonomicznych aspektów konsolidacji Portu Czystej Energii Sp. z o.o. i Zakład</w:t>
      </w:r>
      <w:r w:rsidR="00291AA7">
        <w:rPr>
          <w:rFonts w:ascii="Montserrat" w:hAnsi="Montserrat"/>
          <w:sz w:val="20"/>
          <w:szCs w:val="20"/>
        </w:rPr>
        <w:t>u</w:t>
      </w:r>
      <w:r>
        <w:rPr>
          <w:rFonts w:ascii="Montserrat" w:hAnsi="Montserrat"/>
          <w:sz w:val="20"/>
          <w:szCs w:val="20"/>
        </w:rPr>
        <w:t xml:space="preserve"> Utylizacyjn</w:t>
      </w:r>
      <w:r w:rsidR="00291AA7">
        <w:rPr>
          <w:rFonts w:ascii="Montserrat" w:hAnsi="Montserrat"/>
          <w:sz w:val="20"/>
          <w:szCs w:val="20"/>
        </w:rPr>
        <w:t>ego</w:t>
      </w:r>
      <w:r>
        <w:rPr>
          <w:rFonts w:ascii="Montserrat" w:hAnsi="Montserrat"/>
          <w:sz w:val="20"/>
          <w:szCs w:val="20"/>
        </w:rPr>
        <w:t xml:space="preserve"> Sp. z o.o.</w:t>
      </w:r>
    </w:p>
    <w:p w14:paraId="65683180" w14:textId="5E5CBA6E" w:rsidR="00BA5061" w:rsidRPr="007944FB" w:rsidRDefault="003B074D" w:rsidP="00BA5061">
      <w:pPr>
        <w:pStyle w:val="Akapitzlist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Wydanie r</w:t>
      </w:r>
      <w:r w:rsidR="00BA5061" w:rsidRPr="007944FB">
        <w:rPr>
          <w:rFonts w:ascii="Montserrat" w:hAnsi="Montserrat"/>
          <w:sz w:val="20"/>
          <w:szCs w:val="20"/>
        </w:rPr>
        <w:t>ekomend</w:t>
      </w:r>
      <w:r>
        <w:rPr>
          <w:rFonts w:ascii="Montserrat" w:hAnsi="Montserrat"/>
          <w:sz w:val="20"/>
          <w:szCs w:val="20"/>
        </w:rPr>
        <w:t>acji w sprawie</w:t>
      </w:r>
      <w:r w:rsidR="00BA5061" w:rsidRPr="007944FB">
        <w:rPr>
          <w:rFonts w:ascii="Montserrat" w:hAnsi="Montserrat"/>
          <w:sz w:val="20"/>
          <w:szCs w:val="20"/>
        </w:rPr>
        <w:t xml:space="preserve"> model konsolidacji wraz z opracowaniem Term </w:t>
      </w:r>
      <w:proofErr w:type="spellStart"/>
      <w:r w:rsidR="00BA5061" w:rsidRPr="007944FB">
        <w:rPr>
          <w:rFonts w:ascii="Montserrat" w:hAnsi="Montserrat"/>
          <w:sz w:val="20"/>
          <w:szCs w:val="20"/>
        </w:rPr>
        <w:t>Sheet</w:t>
      </w:r>
      <w:proofErr w:type="spellEnd"/>
      <w:r w:rsidR="00BA5061" w:rsidRPr="007944FB">
        <w:rPr>
          <w:rFonts w:ascii="Montserrat" w:hAnsi="Montserrat"/>
          <w:sz w:val="20"/>
          <w:szCs w:val="20"/>
        </w:rPr>
        <w:t xml:space="preserve"> i analizą </w:t>
      </w:r>
      <w:proofErr w:type="spellStart"/>
      <w:r w:rsidR="00BA5061" w:rsidRPr="007944FB">
        <w:rPr>
          <w:rFonts w:ascii="Montserrat" w:hAnsi="Montserrat"/>
          <w:sz w:val="20"/>
          <w:szCs w:val="20"/>
        </w:rPr>
        <w:t>ryzyk</w:t>
      </w:r>
      <w:proofErr w:type="spellEnd"/>
      <w:r w:rsidR="00BA5061" w:rsidRPr="007944FB">
        <w:rPr>
          <w:rFonts w:ascii="Montserrat" w:hAnsi="Montserrat"/>
          <w:sz w:val="20"/>
          <w:szCs w:val="20"/>
        </w:rPr>
        <w:t>, które mogą wystąpić w toku procesu połączenia.</w:t>
      </w:r>
    </w:p>
    <w:p w14:paraId="18EFBCE9" w14:textId="1F012C29" w:rsidR="00A37A7F" w:rsidRPr="007944FB" w:rsidRDefault="00A37A7F" w:rsidP="00BA5061">
      <w:pPr>
        <w:jc w:val="both"/>
        <w:rPr>
          <w:rFonts w:ascii="Montserrat" w:hAnsi="Montserrat"/>
          <w:sz w:val="20"/>
          <w:szCs w:val="20"/>
        </w:rPr>
      </w:pPr>
    </w:p>
    <w:p w14:paraId="17DA1F0A" w14:textId="2668EBEC" w:rsidR="00BA5061" w:rsidRPr="007944FB" w:rsidRDefault="00BA5061" w:rsidP="00BA5061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Fakultatywnie przewiduje się możliwość poszerzenia zakresu zlecenia o </w:t>
      </w:r>
      <w:r w:rsidR="007944FB">
        <w:rPr>
          <w:rFonts w:ascii="Montserrat" w:hAnsi="Montserrat"/>
          <w:sz w:val="20"/>
          <w:szCs w:val="20"/>
        </w:rPr>
        <w:t>C</w:t>
      </w:r>
      <w:r w:rsidRPr="007944FB">
        <w:rPr>
          <w:rFonts w:ascii="Montserrat" w:hAnsi="Montserrat"/>
          <w:sz w:val="20"/>
          <w:szCs w:val="20"/>
        </w:rPr>
        <w:t xml:space="preserve">zęść </w:t>
      </w:r>
      <w:r w:rsidR="003B074D">
        <w:rPr>
          <w:rFonts w:ascii="Montserrat" w:hAnsi="Montserrat"/>
          <w:sz w:val="20"/>
          <w:szCs w:val="20"/>
        </w:rPr>
        <w:t>I</w:t>
      </w:r>
      <w:r w:rsidR="002D4B2B" w:rsidRPr="007944FB">
        <w:rPr>
          <w:rFonts w:ascii="Montserrat" w:hAnsi="Montserrat"/>
          <w:sz w:val="20"/>
          <w:szCs w:val="20"/>
        </w:rPr>
        <w:t>V</w:t>
      </w:r>
      <w:r w:rsidRPr="007944FB">
        <w:rPr>
          <w:rFonts w:ascii="Montserrat" w:hAnsi="Montserrat"/>
          <w:sz w:val="20"/>
          <w:szCs w:val="20"/>
        </w:rPr>
        <w:t xml:space="preserve">, która będzie dotyczyła przygotowania wniosków lub zapytań do odpowiednich instytucji i organów – celem rozstrzygnięcia wątpliwości interpretacyjnych lub zabezpieczenia przed dostrzeżonymi </w:t>
      </w:r>
      <w:proofErr w:type="spellStart"/>
      <w:r w:rsidRPr="007944FB">
        <w:rPr>
          <w:rFonts w:ascii="Montserrat" w:hAnsi="Montserrat"/>
          <w:sz w:val="20"/>
          <w:szCs w:val="20"/>
        </w:rPr>
        <w:t>ryzykami</w:t>
      </w:r>
      <w:proofErr w:type="spellEnd"/>
      <w:r w:rsidRPr="007944FB">
        <w:rPr>
          <w:rFonts w:ascii="Montserrat" w:hAnsi="Montserrat"/>
          <w:sz w:val="20"/>
          <w:szCs w:val="20"/>
        </w:rPr>
        <w:t xml:space="preserve"> prawnymi</w:t>
      </w:r>
      <w:r w:rsidR="002D4B2B" w:rsidRPr="007944FB">
        <w:rPr>
          <w:rFonts w:ascii="Montserrat" w:hAnsi="Montserrat"/>
          <w:sz w:val="20"/>
          <w:szCs w:val="20"/>
        </w:rPr>
        <w:t xml:space="preserve"> lub podatkowymi</w:t>
      </w:r>
      <w:r w:rsidRPr="007944FB">
        <w:rPr>
          <w:rFonts w:ascii="Montserrat" w:hAnsi="Montserrat"/>
          <w:sz w:val="20"/>
          <w:szCs w:val="20"/>
        </w:rPr>
        <w:t>.</w:t>
      </w:r>
    </w:p>
    <w:p w14:paraId="07E49A2D" w14:textId="77777777" w:rsidR="00390688" w:rsidRPr="007944FB" w:rsidRDefault="00390688" w:rsidP="00BA5061">
      <w:pPr>
        <w:jc w:val="both"/>
        <w:rPr>
          <w:rFonts w:ascii="Montserrat" w:hAnsi="Montserrat"/>
          <w:sz w:val="20"/>
          <w:szCs w:val="20"/>
        </w:rPr>
      </w:pPr>
    </w:p>
    <w:p w14:paraId="3123337B" w14:textId="34E29C13" w:rsidR="00390688" w:rsidRPr="007944FB" w:rsidRDefault="003B074D" w:rsidP="00BA5061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Część I opracowania zostanie wykonana przez zespół radców prawnych i adwokatów. Na część II będą się składały 3 działy – Dział I „Analiza prawna” </w:t>
      </w:r>
      <w:r w:rsidR="00390688" w:rsidRPr="007944FB">
        <w:rPr>
          <w:rFonts w:ascii="Montserrat" w:hAnsi="Montserrat"/>
          <w:sz w:val="20"/>
          <w:szCs w:val="20"/>
        </w:rPr>
        <w:t xml:space="preserve">wykonane przez adwokata/radcę prawnego. </w:t>
      </w:r>
      <w:r>
        <w:rPr>
          <w:rFonts w:ascii="Montserrat" w:hAnsi="Montserrat"/>
          <w:sz w:val="20"/>
          <w:szCs w:val="20"/>
        </w:rPr>
        <w:t>Dział</w:t>
      </w:r>
      <w:r w:rsidR="00390688" w:rsidRPr="007944FB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II „Analiza podatkowa”</w:t>
      </w:r>
      <w:r w:rsidR="00390688" w:rsidRPr="007944FB">
        <w:rPr>
          <w:rFonts w:ascii="Montserrat" w:hAnsi="Montserrat"/>
          <w:sz w:val="20"/>
          <w:szCs w:val="20"/>
        </w:rPr>
        <w:t xml:space="preserve"> zostanie wykonane przez Doradcę podatkowego. </w:t>
      </w:r>
      <w:r>
        <w:rPr>
          <w:rFonts w:ascii="Montserrat" w:hAnsi="Montserrat"/>
          <w:sz w:val="20"/>
          <w:szCs w:val="20"/>
        </w:rPr>
        <w:t>Dział</w:t>
      </w:r>
      <w:r w:rsidR="00390688" w:rsidRPr="007944FB">
        <w:rPr>
          <w:rFonts w:ascii="Montserrat" w:hAnsi="Montserrat"/>
          <w:sz w:val="20"/>
          <w:szCs w:val="20"/>
        </w:rPr>
        <w:t xml:space="preserve"> III</w:t>
      </w:r>
      <w:r>
        <w:rPr>
          <w:rFonts w:ascii="Montserrat" w:hAnsi="Montserrat"/>
          <w:sz w:val="20"/>
          <w:szCs w:val="20"/>
        </w:rPr>
        <w:t xml:space="preserve"> „Analiza ekonomiczna”</w:t>
      </w:r>
      <w:r w:rsidR="00390688" w:rsidRPr="007944FB">
        <w:rPr>
          <w:rFonts w:ascii="Montserrat" w:hAnsi="Montserrat"/>
          <w:sz w:val="20"/>
          <w:szCs w:val="20"/>
        </w:rPr>
        <w:t xml:space="preserve"> będzie skupiała się na kwestiach związanych z udzieloną spółk</w:t>
      </w:r>
      <w:r w:rsidR="00491C39" w:rsidRPr="007944FB">
        <w:rPr>
          <w:rFonts w:ascii="Montserrat" w:hAnsi="Montserrat"/>
          <w:sz w:val="20"/>
          <w:szCs w:val="20"/>
        </w:rPr>
        <w:t>om</w:t>
      </w:r>
      <w:r w:rsidR="00390688" w:rsidRPr="007944FB">
        <w:rPr>
          <w:rFonts w:ascii="Montserrat" w:hAnsi="Montserrat"/>
          <w:sz w:val="20"/>
          <w:szCs w:val="20"/>
        </w:rPr>
        <w:t xml:space="preserve"> pomocą publiczną oraz </w:t>
      </w:r>
      <w:r w:rsidR="00491C39" w:rsidRPr="007944FB">
        <w:rPr>
          <w:rFonts w:ascii="Montserrat" w:hAnsi="Montserrat"/>
          <w:sz w:val="20"/>
          <w:szCs w:val="20"/>
        </w:rPr>
        <w:t xml:space="preserve">z </w:t>
      </w:r>
      <w:r w:rsidR="00390688" w:rsidRPr="007944FB">
        <w:rPr>
          <w:rFonts w:ascii="Montserrat" w:hAnsi="Montserrat"/>
          <w:sz w:val="20"/>
          <w:szCs w:val="20"/>
        </w:rPr>
        <w:t>trwałości</w:t>
      </w:r>
      <w:r w:rsidR="00491C39" w:rsidRPr="007944FB">
        <w:rPr>
          <w:rFonts w:ascii="Montserrat" w:hAnsi="Montserrat"/>
          <w:sz w:val="20"/>
          <w:szCs w:val="20"/>
        </w:rPr>
        <w:t>ą</w:t>
      </w:r>
      <w:r w:rsidR="00390688" w:rsidRPr="007944FB">
        <w:rPr>
          <w:rFonts w:ascii="Montserrat" w:hAnsi="Montserrat"/>
          <w:sz w:val="20"/>
          <w:szCs w:val="20"/>
        </w:rPr>
        <w:t xml:space="preserve"> dofinansowanych projektów inwestycyjnych prowadzonych przez Spółki</w:t>
      </w:r>
      <w:r w:rsidR="00491C39" w:rsidRPr="007944FB">
        <w:rPr>
          <w:rFonts w:ascii="Montserrat" w:hAnsi="Montserrat"/>
          <w:sz w:val="20"/>
          <w:szCs w:val="20"/>
        </w:rPr>
        <w:t>,</w:t>
      </w:r>
      <w:r w:rsidR="00390688" w:rsidRPr="007944FB">
        <w:rPr>
          <w:rFonts w:ascii="Montserrat" w:hAnsi="Montserrat"/>
          <w:sz w:val="20"/>
          <w:szCs w:val="20"/>
        </w:rPr>
        <w:t xml:space="preserve"> zostanie wykonana przez analityka ekonomicznego oraz radcę prawnego/adwokata. Rekomendacja modelu konsolidacji </w:t>
      </w:r>
      <w:r w:rsidR="00663219">
        <w:rPr>
          <w:rFonts w:ascii="Montserrat" w:hAnsi="Montserrat"/>
          <w:sz w:val="20"/>
          <w:szCs w:val="20"/>
        </w:rPr>
        <w:t>zawarta w Części I</w:t>
      </w:r>
      <w:r>
        <w:rPr>
          <w:rFonts w:ascii="Montserrat" w:hAnsi="Montserrat"/>
          <w:sz w:val="20"/>
          <w:szCs w:val="20"/>
        </w:rPr>
        <w:t>II</w:t>
      </w:r>
      <w:r w:rsidR="00663219">
        <w:rPr>
          <w:rFonts w:ascii="Montserrat" w:hAnsi="Montserrat"/>
          <w:sz w:val="20"/>
          <w:szCs w:val="20"/>
        </w:rPr>
        <w:t xml:space="preserve"> </w:t>
      </w:r>
      <w:r w:rsidR="00390688" w:rsidRPr="007944FB">
        <w:rPr>
          <w:rFonts w:ascii="Montserrat" w:hAnsi="Montserrat"/>
          <w:sz w:val="20"/>
          <w:szCs w:val="20"/>
        </w:rPr>
        <w:t xml:space="preserve">zostanie opracowana przez wszystkich członków zespołu sporządzającego opracowanie. Analogicznie </w:t>
      </w:r>
      <w:r w:rsidR="00663219">
        <w:rPr>
          <w:rFonts w:ascii="Montserrat" w:hAnsi="Montserrat"/>
          <w:sz w:val="20"/>
          <w:szCs w:val="20"/>
        </w:rPr>
        <w:t>w C</w:t>
      </w:r>
      <w:r w:rsidR="00390688" w:rsidRPr="007944FB">
        <w:rPr>
          <w:rFonts w:ascii="Montserrat" w:hAnsi="Montserrat"/>
          <w:sz w:val="20"/>
          <w:szCs w:val="20"/>
        </w:rPr>
        <w:t xml:space="preserve">zęści </w:t>
      </w:r>
      <w:r>
        <w:rPr>
          <w:rFonts w:ascii="Montserrat" w:hAnsi="Montserrat"/>
          <w:sz w:val="20"/>
          <w:szCs w:val="20"/>
        </w:rPr>
        <w:t>I</w:t>
      </w:r>
      <w:r w:rsidR="00390688" w:rsidRPr="007944FB">
        <w:rPr>
          <w:rFonts w:ascii="Montserrat" w:hAnsi="Montserrat"/>
          <w:sz w:val="20"/>
          <w:szCs w:val="20"/>
        </w:rPr>
        <w:t>V, w przypadku konieczności redakcji wniosków/pism/zapytań zostaną one wykonane przez członków zespołu, którzy będą posiadali adekwatną do okoliczności wiedzę oraz doświadczenie.</w:t>
      </w:r>
      <w:r w:rsidR="00491C39" w:rsidRPr="007944FB">
        <w:rPr>
          <w:rFonts w:ascii="Montserrat" w:hAnsi="Montserrat"/>
          <w:sz w:val="20"/>
          <w:szCs w:val="20"/>
        </w:rPr>
        <w:t xml:space="preserve"> </w:t>
      </w:r>
    </w:p>
    <w:p w14:paraId="1D5DD540" w14:textId="77777777" w:rsidR="00BA5061" w:rsidRPr="007944FB" w:rsidRDefault="00BA5061" w:rsidP="00BA5061">
      <w:pPr>
        <w:jc w:val="both"/>
        <w:rPr>
          <w:rFonts w:ascii="Montserrat" w:hAnsi="Montserrat"/>
          <w:sz w:val="20"/>
          <w:szCs w:val="20"/>
        </w:rPr>
      </w:pPr>
    </w:p>
    <w:p w14:paraId="47D4F72F" w14:textId="29FF3EBE" w:rsidR="003B074D" w:rsidRDefault="003B074D" w:rsidP="002D4B2B">
      <w:pPr>
        <w:jc w:val="both"/>
        <w:rPr>
          <w:rFonts w:ascii="Montserrat" w:hAnsi="Montserrat"/>
          <w:color w:val="0B1C2E"/>
          <w:sz w:val="20"/>
          <w:szCs w:val="20"/>
          <w:shd w:val="clear" w:color="auto" w:fill="FFFFFF"/>
        </w:rPr>
      </w:pPr>
      <w:r>
        <w:rPr>
          <w:rFonts w:ascii="Montserrat" w:hAnsi="Montserrat"/>
          <w:sz w:val="20"/>
          <w:szCs w:val="20"/>
        </w:rPr>
        <w:t xml:space="preserve">Cześć I opracowania będzie stanowiła </w:t>
      </w:r>
      <w:proofErr w:type="spellStart"/>
      <w:r>
        <w:rPr>
          <w:rFonts w:ascii="Montserrat" w:hAnsi="Montserrat"/>
          <w:sz w:val="20"/>
          <w:szCs w:val="20"/>
        </w:rPr>
        <w:t>Due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Diligence</w:t>
      </w:r>
      <w:proofErr w:type="spellEnd"/>
      <w:r>
        <w:rPr>
          <w:rFonts w:ascii="Montserrat" w:hAnsi="Montserrat"/>
          <w:sz w:val="20"/>
          <w:szCs w:val="20"/>
        </w:rPr>
        <w:t xml:space="preserve"> prawne </w:t>
      </w:r>
      <w:r w:rsidR="00291AA7">
        <w:rPr>
          <w:rFonts w:ascii="Montserrat" w:hAnsi="Montserrat"/>
          <w:sz w:val="20"/>
          <w:szCs w:val="20"/>
        </w:rPr>
        <w:t>Zakładu Utylizacyjnego</w:t>
      </w:r>
      <w:r>
        <w:rPr>
          <w:rFonts w:ascii="Montserrat" w:hAnsi="Montserrat"/>
          <w:sz w:val="20"/>
          <w:szCs w:val="20"/>
        </w:rPr>
        <w:t xml:space="preserve"> Sp. z o.o. </w:t>
      </w:r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Prawne </w:t>
      </w:r>
      <w:proofErr w:type="spellStart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>Due</w:t>
      </w:r>
      <w:proofErr w:type="spellEnd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</w:t>
      </w:r>
      <w:proofErr w:type="spellStart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>Diligence</w:t>
      </w:r>
      <w:proofErr w:type="spellEnd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obejmuje badanie, zrozumienie i ocenę legalności działania Spółki oraz analizę </w:t>
      </w:r>
      <w:proofErr w:type="spellStart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>ryzyk</w:t>
      </w:r>
      <w:proofErr w:type="spellEnd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dla </w:t>
      </w:r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rozważanej konsolidacji</w:t>
      </w:r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. </w:t>
      </w:r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Istotą tego procesu będzie dokonanie</w:t>
      </w:r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przegląd</w:t>
      </w:r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u</w:t>
      </w:r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dokumentów, takich jak kluczowe/wszelkie umowy biznesowe, pożyczki, prawa własność intelektualnej i toczące się postępowania sądowe. </w:t>
      </w:r>
      <w:proofErr w:type="spellStart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>Due</w:t>
      </w:r>
      <w:proofErr w:type="spellEnd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</w:t>
      </w:r>
      <w:proofErr w:type="spellStart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>Diligence</w:t>
      </w:r>
      <w:proofErr w:type="spellEnd"/>
      <w:r w:rsidRPr="003B074D"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prawne polega na analizie i ocenie narażenia organizacji na ryzyko prawne, korporacyjne i regulacyjne</w:t>
      </w:r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. </w:t>
      </w:r>
    </w:p>
    <w:p w14:paraId="53FFD7F8" w14:textId="77777777" w:rsidR="003B074D" w:rsidRDefault="003B074D" w:rsidP="002D4B2B">
      <w:pPr>
        <w:jc w:val="both"/>
        <w:rPr>
          <w:rFonts w:ascii="Montserrat" w:hAnsi="Montserrat"/>
          <w:color w:val="0B1C2E"/>
          <w:sz w:val="20"/>
          <w:szCs w:val="20"/>
          <w:shd w:val="clear" w:color="auto" w:fill="FFFFFF"/>
        </w:rPr>
      </w:pPr>
    </w:p>
    <w:p w14:paraId="272F0B16" w14:textId="30A3F921" w:rsidR="003B074D" w:rsidRDefault="003B074D" w:rsidP="002D4B2B">
      <w:pPr>
        <w:jc w:val="both"/>
        <w:rPr>
          <w:rFonts w:ascii="Montserrat" w:hAnsi="Montserrat"/>
          <w:color w:val="0B1C2E"/>
          <w:sz w:val="20"/>
          <w:szCs w:val="20"/>
          <w:shd w:val="clear" w:color="auto" w:fill="FFFFFF"/>
        </w:rPr>
      </w:pPr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Zakres czynności do przeprowadzenia w ramach badania </w:t>
      </w:r>
      <w:proofErr w:type="spellStart"/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Due</w:t>
      </w:r>
      <w:proofErr w:type="spellEnd"/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Diligence</w:t>
      </w:r>
      <w:proofErr w:type="spellEnd"/>
      <w:r>
        <w:rPr>
          <w:rFonts w:ascii="Montserrat" w:hAnsi="Montserrat"/>
          <w:color w:val="0B1C2E"/>
          <w:sz w:val="20"/>
          <w:szCs w:val="20"/>
          <w:shd w:val="clear" w:color="auto" w:fill="FFFFFF"/>
        </w:rPr>
        <w:t>:</w:t>
      </w:r>
    </w:p>
    <w:p w14:paraId="16B5AC1A" w14:textId="77777777" w:rsidR="003B074D" w:rsidRDefault="003B074D" w:rsidP="002D4B2B">
      <w:pPr>
        <w:jc w:val="both"/>
        <w:rPr>
          <w:rFonts w:ascii="Montserrat" w:hAnsi="Montserrat"/>
          <w:color w:val="0B1C2E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B074D" w:rsidRPr="00A87862" w14:paraId="66F6B8E8" w14:textId="77777777" w:rsidTr="00837CA0">
        <w:tc>
          <w:tcPr>
            <w:tcW w:w="9062" w:type="dxa"/>
            <w:gridSpan w:val="2"/>
          </w:tcPr>
          <w:p w14:paraId="268C1462" w14:textId="5133ABAB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sz w:val="18"/>
                <w:szCs w:val="18"/>
              </w:rPr>
            </w:pPr>
          </w:p>
        </w:tc>
      </w:tr>
      <w:tr w:rsidR="003B074D" w:rsidRPr="0077108A" w14:paraId="41F4AF40" w14:textId="77777777" w:rsidTr="00837CA0">
        <w:tc>
          <w:tcPr>
            <w:tcW w:w="704" w:type="dxa"/>
            <w:shd w:val="clear" w:color="auto" w:fill="C1E4F5" w:themeFill="accent1" w:themeFillTint="33"/>
          </w:tcPr>
          <w:p w14:paraId="22209D2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Lp. </w:t>
            </w:r>
          </w:p>
        </w:tc>
        <w:tc>
          <w:tcPr>
            <w:tcW w:w="8358" w:type="dxa"/>
            <w:shd w:val="clear" w:color="auto" w:fill="C1E4F5" w:themeFill="accent1" w:themeFillTint="33"/>
          </w:tcPr>
          <w:p w14:paraId="5839F18E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sz w:val="18"/>
                <w:szCs w:val="18"/>
              </w:rPr>
              <w:t xml:space="preserve">Zakres badania </w:t>
            </w:r>
          </w:p>
        </w:tc>
      </w:tr>
      <w:tr w:rsidR="003B074D" w:rsidRPr="0077108A" w14:paraId="4C583DF6" w14:textId="77777777" w:rsidTr="00837CA0">
        <w:tc>
          <w:tcPr>
            <w:tcW w:w="704" w:type="dxa"/>
            <w:shd w:val="clear" w:color="auto" w:fill="FAE2D5" w:themeFill="accent2" w:themeFillTint="33"/>
          </w:tcPr>
          <w:p w14:paraId="62F3FBD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45118641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Korporacyjne </w:t>
            </w:r>
          </w:p>
        </w:tc>
      </w:tr>
      <w:tr w:rsidR="003B074D" w:rsidRPr="00353960" w14:paraId="2EF5E2AA" w14:textId="77777777" w:rsidTr="00837CA0">
        <w:tc>
          <w:tcPr>
            <w:tcW w:w="704" w:type="dxa"/>
          </w:tcPr>
          <w:p w14:paraId="704DD1B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74745BE2" w14:textId="77777777" w:rsidR="003B074D" w:rsidRPr="003B074D" w:rsidRDefault="003B074D" w:rsidP="00837CA0">
            <w:pPr>
              <w:tabs>
                <w:tab w:val="left" w:pos="2592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Aktualna umowa spółki oraz wskazanie wszystkich dotychczasowych zmian umowy</w:t>
            </w:r>
          </w:p>
        </w:tc>
      </w:tr>
      <w:tr w:rsidR="003B074D" w:rsidRPr="00353960" w14:paraId="3B9BBB39" w14:textId="77777777" w:rsidTr="00837CA0">
        <w:tc>
          <w:tcPr>
            <w:tcW w:w="704" w:type="dxa"/>
          </w:tcPr>
          <w:p w14:paraId="2A056D7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2D44988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Struktura organizacyjna (m.in. wspólników, pomioty zależne, powiązane, oddziały) </w:t>
            </w:r>
          </w:p>
        </w:tc>
      </w:tr>
      <w:tr w:rsidR="003B074D" w:rsidRPr="00353960" w14:paraId="071041D7" w14:textId="77777777" w:rsidTr="00837CA0">
        <w:tc>
          <w:tcPr>
            <w:tcW w:w="704" w:type="dxa"/>
          </w:tcPr>
          <w:p w14:paraId="606A472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6839A8DE" w14:textId="77777777" w:rsidR="003B074D" w:rsidRPr="003B074D" w:rsidRDefault="003B074D" w:rsidP="00837CA0">
            <w:pPr>
              <w:tabs>
                <w:tab w:val="left" w:pos="2510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Umowy związane z przenoszeniem prawa własności, obciążeniem udziałów/akcji i roszczenia związane z udziałami/akcjami, a także uprawnienia związane z udziałami/akcjami (w szczególności opcje, pierwokupu)</w:t>
            </w:r>
          </w:p>
        </w:tc>
      </w:tr>
      <w:tr w:rsidR="003B074D" w:rsidRPr="00353960" w14:paraId="6064FE0D" w14:textId="77777777" w:rsidTr="00837CA0">
        <w:tc>
          <w:tcPr>
            <w:tcW w:w="704" w:type="dxa"/>
          </w:tcPr>
          <w:p w14:paraId="15BA8BE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3095081D" w14:textId="77777777" w:rsidR="003B074D" w:rsidRPr="003B074D" w:rsidRDefault="003B074D" w:rsidP="00837CA0">
            <w:pPr>
              <w:tabs>
                <w:tab w:val="left" w:pos="3346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Protokoły ze zgromadzeń/posiedzeń organów spółki za ostatnie 3 lata i podejmowane uchwały</w:t>
            </w:r>
          </w:p>
        </w:tc>
      </w:tr>
      <w:tr w:rsidR="003B074D" w:rsidRPr="00353960" w14:paraId="133352D5" w14:textId="77777777" w:rsidTr="00837CA0">
        <w:tc>
          <w:tcPr>
            <w:tcW w:w="704" w:type="dxa"/>
          </w:tcPr>
          <w:p w14:paraId="1D73176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6356C794" w14:textId="77777777" w:rsidR="003B074D" w:rsidRPr="003B074D" w:rsidRDefault="003B074D" w:rsidP="00837CA0">
            <w:pPr>
              <w:tabs>
                <w:tab w:val="left" w:pos="2784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Dokumentacja związana z powoływaniem/odwoływaniem członków organów spółki za ostanie 3 lata</w:t>
            </w:r>
          </w:p>
        </w:tc>
      </w:tr>
      <w:tr w:rsidR="003B074D" w:rsidRPr="00353960" w14:paraId="325CE13D" w14:textId="77777777" w:rsidTr="00837CA0">
        <w:tc>
          <w:tcPr>
            <w:tcW w:w="704" w:type="dxa"/>
          </w:tcPr>
          <w:p w14:paraId="32FD759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4095153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Roszczenia i spory, w szczególności związane z podjęciem uchwał, z udziałami/akcjami </w:t>
            </w:r>
          </w:p>
        </w:tc>
      </w:tr>
      <w:tr w:rsidR="003B074D" w:rsidRPr="00353960" w14:paraId="1EB949D9" w14:textId="77777777" w:rsidTr="00837CA0">
        <w:tc>
          <w:tcPr>
            <w:tcW w:w="704" w:type="dxa"/>
          </w:tcPr>
          <w:p w14:paraId="3039A25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2E160B3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Regulaminy organów spółki</w:t>
            </w:r>
          </w:p>
        </w:tc>
      </w:tr>
      <w:tr w:rsidR="003B074D" w:rsidRPr="00353960" w14:paraId="76B617C8" w14:textId="77777777" w:rsidTr="00837CA0">
        <w:tc>
          <w:tcPr>
            <w:tcW w:w="704" w:type="dxa"/>
          </w:tcPr>
          <w:p w14:paraId="4552CFE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14FE314D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Kopie nierozpoznanych wniosków przez KRS</w:t>
            </w:r>
          </w:p>
        </w:tc>
      </w:tr>
      <w:tr w:rsidR="003B074D" w:rsidRPr="0077108A" w14:paraId="2BBE0BF1" w14:textId="77777777" w:rsidTr="00837CA0">
        <w:tc>
          <w:tcPr>
            <w:tcW w:w="704" w:type="dxa"/>
            <w:shd w:val="clear" w:color="auto" w:fill="FAE2D5" w:themeFill="accent2" w:themeFillTint="33"/>
          </w:tcPr>
          <w:p w14:paraId="42BB586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283C48B5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Nieruchomości </w:t>
            </w:r>
          </w:p>
        </w:tc>
      </w:tr>
      <w:tr w:rsidR="003B074D" w:rsidRPr="00353960" w14:paraId="524418F8" w14:textId="77777777" w:rsidTr="00837CA0">
        <w:tc>
          <w:tcPr>
            <w:tcW w:w="704" w:type="dxa"/>
          </w:tcPr>
          <w:p w14:paraId="34DCDB4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17D49AD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Lista nieruchomości których spółka (w odniesieniu do zorganizowanej części przedsiębiorstwa) jest właścicielem, posiadaczem zależnym (np. dzierżawa, najem) lub posiada prawo do korzystania z nieruchomości na podstawie innych tytułów z podaniem adresów, KW, sposobu wykorzystywania, kopie dokumentów potwierdzających tytuł prawny wraz ze wszystkimi dokumentami korporacyjnymi (np. pełnomocnictwa, uchwały, decyzje), </w:t>
            </w:r>
          </w:p>
        </w:tc>
      </w:tr>
      <w:tr w:rsidR="003B074D" w:rsidRPr="00353960" w14:paraId="0E3AE374" w14:textId="77777777" w:rsidTr="00837CA0">
        <w:tc>
          <w:tcPr>
            <w:tcW w:w="704" w:type="dxa"/>
          </w:tcPr>
          <w:p w14:paraId="197EC22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2EEB26C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Wykaz podmiotów przysługujących praw do korzystania z nieruchomości wraz z kopiami umów/tytułów prawnych </w:t>
            </w:r>
          </w:p>
        </w:tc>
      </w:tr>
      <w:tr w:rsidR="003B074D" w:rsidRPr="00353960" w14:paraId="6E4D2680" w14:textId="77777777" w:rsidTr="00837CA0">
        <w:tc>
          <w:tcPr>
            <w:tcW w:w="704" w:type="dxa"/>
          </w:tcPr>
          <w:p w14:paraId="0434A01A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71EEB97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Zezwolenia na nabycie nieruchomości, w tym także zgody korporacyjne </w:t>
            </w:r>
          </w:p>
        </w:tc>
      </w:tr>
      <w:tr w:rsidR="003B074D" w:rsidRPr="00353960" w14:paraId="00CF68B8" w14:textId="77777777" w:rsidTr="00837CA0">
        <w:tc>
          <w:tcPr>
            <w:tcW w:w="704" w:type="dxa"/>
          </w:tcPr>
          <w:p w14:paraId="20CADF7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21EC499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Obciążenia nieruchomości, umowy zobowiązujące do zbycia nieruchomości</w:t>
            </w:r>
          </w:p>
        </w:tc>
      </w:tr>
      <w:tr w:rsidR="003B074D" w:rsidRPr="00353960" w14:paraId="7C0B0D00" w14:textId="77777777" w:rsidTr="00837CA0">
        <w:tc>
          <w:tcPr>
            <w:tcW w:w="704" w:type="dxa"/>
          </w:tcPr>
          <w:p w14:paraId="2FF105E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4C7D3FF2" w14:textId="77777777" w:rsidR="003B074D" w:rsidRPr="003B074D" w:rsidRDefault="003B074D" w:rsidP="00837CA0">
            <w:pPr>
              <w:tabs>
                <w:tab w:val="left" w:pos="3429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Inwentaryzacja obiektów posadowionych na nieruchomości (o ile dotyczy) </w:t>
            </w:r>
          </w:p>
        </w:tc>
      </w:tr>
      <w:tr w:rsidR="003B074D" w:rsidRPr="00353960" w14:paraId="186E7578" w14:textId="77777777" w:rsidTr="00837CA0">
        <w:tc>
          <w:tcPr>
            <w:tcW w:w="704" w:type="dxa"/>
          </w:tcPr>
          <w:p w14:paraId="4EFEB8AD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1CFFB27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Zaświadczenia o braku zaległości </w:t>
            </w:r>
          </w:p>
        </w:tc>
      </w:tr>
      <w:tr w:rsidR="003B074D" w:rsidRPr="00353960" w14:paraId="29BBC5CD" w14:textId="77777777" w:rsidTr="00837CA0">
        <w:tc>
          <w:tcPr>
            <w:tcW w:w="704" w:type="dxa"/>
          </w:tcPr>
          <w:p w14:paraId="609D483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0CE78A9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Roszczenia związane z nieruchomościami</w:t>
            </w:r>
          </w:p>
        </w:tc>
      </w:tr>
      <w:tr w:rsidR="003B074D" w:rsidRPr="00353960" w14:paraId="0D0AD58C" w14:textId="77777777" w:rsidTr="00837CA0">
        <w:tc>
          <w:tcPr>
            <w:tcW w:w="704" w:type="dxa"/>
          </w:tcPr>
          <w:p w14:paraId="23A01D3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508EB03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Analiza wpisów w rejestrach </w:t>
            </w:r>
          </w:p>
        </w:tc>
      </w:tr>
      <w:tr w:rsidR="003B074D" w:rsidRPr="0077108A" w14:paraId="5A903AA5" w14:textId="77777777" w:rsidTr="00837CA0">
        <w:tc>
          <w:tcPr>
            <w:tcW w:w="704" w:type="dxa"/>
            <w:shd w:val="clear" w:color="auto" w:fill="FAE2D5" w:themeFill="accent2" w:themeFillTint="33"/>
          </w:tcPr>
          <w:p w14:paraId="73AF0BB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1D622E20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Ruchomości </w:t>
            </w:r>
          </w:p>
        </w:tc>
      </w:tr>
      <w:tr w:rsidR="003B074D" w:rsidRPr="00353960" w14:paraId="34F7C41D" w14:textId="77777777" w:rsidTr="00837CA0">
        <w:tc>
          <w:tcPr>
            <w:tcW w:w="704" w:type="dxa"/>
          </w:tcPr>
          <w:p w14:paraId="6A26AE8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69030C32" w14:textId="77777777" w:rsidR="003B074D" w:rsidRPr="003B074D" w:rsidRDefault="003B074D" w:rsidP="00837CA0">
            <w:pPr>
              <w:tabs>
                <w:tab w:val="left" w:pos="2894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Wykaz rzeczowych środków trwałych ze wskazaniem tytułu prawnego do dysponowania (przedłożenie kopii umów dotyczących ruchomości) w odniesieniu do zorganizowanej części przedsiębiorstwa </w:t>
            </w:r>
          </w:p>
        </w:tc>
      </w:tr>
      <w:tr w:rsidR="003B074D" w:rsidRPr="00353960" w14:paraId="118EE338" w14:textId="77777777" w:rsidTr="00837CA0">
        <w:tc>
          <w:tcPr>
            <w:tcW w:w="704" w:type="dxa"/>
          </w:tcPr>
          <w:p w14:paraId="202B603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3B178D2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Ograniczone prawa rzeczowe na ruchomościach, w tym zastawów oraz inne ograniczenia umowne dotyczące korzystania z ruchomości,  w tym umowy na podstawie których spółka oddała innym podmiotom ruchomości do wykorzystywania np. najem, użyczenie, roszczenia związane z ruchomościami </w:t>
            </w:r>
          </w:p>
        </w:tc>
      </w:tr>
      <w:tr w:rsidR="003B074D" w:rsidRPr="005F2BD4" w14:paraId="4936CD8D" w14:textId="77777777" w:rsidTr="00837CA0">
        <w:tc>
          <w:tcPr>
            <w:tcW w:w="704" w:type="dxa"/>
          </w:tcPr>
          <w:p w14:paraId="31AF8AD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366E86D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Roszczenie związane z ruchomościami </w:t>
            </w:r>
          </w:p>
        </w:tc>
      </w:tr>
      <w:tr w:rsidR="003B074D" w:rsidRPr="0077108A" w14:paraId="31558B61" w14:textId="77777777" w:rsidTr="00837CA0">
        <w:tc>
          <w:tcPr>
            <w:tcW w:w="704" w:type="dxa"/>
            <w:shd w:val="clear" w:color="auto" w:fill="FAE2D5" w:themeFill="accent2" w:themeFillTint="33"/>
          </w:tcPr>
          <w:p w14:paraId="56787AF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6711CF96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Sprawy pracownicze </w:t>
            </w:r>
          </w:p>
        </w:tc>
      </w:tr>
      <w:tr w:rsidR="003B074D" w:rsidRPr="00353960" w14:paraId="57BB3335" w14:textId="77777777" w:rsidTr="00837CA0">
        <w:tc>
          <w:tcPr>
            <w:tcW w:w="704" w:type="dxa"/>
          </w:tcPr>
          <w:p w14:paraId="39D0D29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1B2AE5B6" w14:textId="77777777" w:rsidR="003B074D" w:rsidRPr="003B074D" w:rsidRDefault="003B074D" w:rsidP="00837CA0">
            <w:pPr>
              <w:tabs>
                <w:tab w:val="left" w:pos="1920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Struktura zatrudnienia wraz z przekazaniem kopii zawartych umów z podziałem na strukturę zatrudnienia w zorganizowanej części przedsiębiorstwa (obejmująca także osoby zarządzające)</w:t>
            </w:r>
          </w:p>
        </w:tc>
      </w:tr>
      <w:tr w:rsidR="003B074D" w:rsidRPr="00353960" w14:paraId="7CABD7E2" w14:textId="77777777" w:rsidTr="00837CA0">
        <w:tc>
          <w:tcPr>
            <w:tcW w:w="704" w:type="dxa"/>
          </w:tcPr>
          <w:p w14:paraId="43A86C0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2F44C7A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Informacja o przejściu zakładu pracy w okresie ostatnich 3 lat</w:t>
            </w:r>
          </w:p>
        </w:tc>
      </w:tr>
      <w:tr w:rsidR="003B074D" w:rsidRPr="00353960" w14:paraId="5B0002DA" w14:textId="77777777" w:rsidTr="00837CA0">
        <w:tc>
          <w:tcPr>
            <w:tcW w:w="704" w:type="dxa"/>
          </w:tcPr>
          <w:p w14:paraId="6785FC3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A2A11F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Wykaz pracowników związanych ze szczególną ochroną i z jakiego tytułu </w:t>
            </w:r>
          </w:p>
        </w:tc>
      </w:tr>
      <w:tr w:rsidR="003B074D" w:rsidRPr="00353960" w14:paraId="60113B91" w14:textId="77777777" w:rsidTr="00837CA0">
        <w:tc>
          <w:tcPr>
            <w:tcW w:w="704" w:type="dxa"/>
          </w:tcPr>
          <w:p w14:paraId="2A7A420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2F4408C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Wzory umów </w:t>
            </w:r>
          </w:p>
        </w:tc>
      </w:tr>
      <w:tr w:rsidR="003B074D" w:rsidRPr="00353960" w14:paraId="67EB6098" w14:textId="77777777" w:rsidTr="00837CA0">
        <w:tc>
          <w:tcPr>
            <w:tcW w:w="704" w:type="dxa"/>
          </w:tcPr>
          <w:p w14:paraId="102706E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44400AC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Źródła prawa, w tym regulaminu, układy zbiorowe prawa pracy</w:t>
            </w:r>
          </w:p>
        </w:tc>
      </w:tr>
      <w:tr w:rsidR="003B074D" w:rsidRPr="00353960" w14:paraId="19C0E900" w14:textId="77777777" w:rsidTr="00837CA0">
        <w:tc>
          <w:tcPr>
            <w:tcW w:w="704" w:type="dxa"/>
          </w:tcPr>
          <w:p w14:paraId="4BE5864D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3F5E251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Świadczenia pracownicze </w:t>
            </w:r>
          </w:p>
        </w:tc>
      </w:tr>
      <w:tr w:rsidR="003B074D" w:rsidRPr="00353960" w14:paraId="7EC3BF57" w14:textId="77777777" w:rsidTr="00837CA0">
        <w:tc>
          <w:tcPr>
            <w:tcW w:w="704" w:type="dxa"/>
          </w:tcPr>
          <w:p w14:paraId="18B7671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4EFA98C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Związki zawodowe </w:t>
            </w:r>
          </w:p>
        </w:tc>
      </w:tr>
      <w:tr w:rsidR="003B074D" w:rsidRPr="00353960" w14:paraId="26E64C94" w14:textId="77777777" w:rsidTr="00837CA0">
        <w:tc>
          <w:tcPr>
            <w:tcW w:w="704" w:type="dxa"/>
          </w:tcPr>
          <w:p w14:paraId="36905D8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5B60AD5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Wypadki przy pracy i spory pracownicze</w:t>
            </w:r>
          </w:p>
        </w:tc>
      </w:tr>
      <w:tr w:rsidR="003B074D" w:rsidRPr="00353960" w14:paraId="49CE3B19" w14:textId="77777777" w:rsidTr="00837CA0">
        <w:tc>
          <w:tcPr>
            <w:tcW w:w="704" w:type="dxa"/>
          </w:tcPr>
          <w:p w14:paraId="6C14942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9</w:t>
            </w:r>
          </w:p>
        </w:tc>
        <w:tc>
          <w:tcPr>
            <w:tcW w:w="8358" w:type="dxa"/>
          </w:tcPr>
          <w:p w14:paraId="6C851D9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Kontrole PIP oraz dokumentacja przedkładana do PIP za ostatnie 3 lata </w:t>
            </w:r>
          </w:p>
        </w:tc>
      </w:tr>
      <w:tr w:rsidR="003B074D" w:rsidRPr="0077108A" w14:paraId="4EF3D2AA" w14:textId="77777777" w:rsidTr="00837CA0">
        <w:tc>
          <w:tcPr>
            <w:tcW w:w="704" w:type="dxa"/>
            <w:shd w:val="clear" w:color="auto" w:fill="FAE2D5" w:themeFill="accent2" w:themeFillTint="33"/>
          </w:tcPr>
          <w:p w14:paraId="07BDFBF0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1E76CF1A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Umowy handlowe i związane z finansowaniem </w:t>
            </w:r>
          </w:p>
        </w:tc>
      </w:tr>
      <w:tr w:rsidR="003B074D" w:rsidRPr="00353960" w14:paraId="2498C989" w14:textId="77777777" w:rsidTr="00837CA0">
        <w:tc>
          <w:tcPr>
            <w:tcW w:w="704" w:type="dxa"/>
          </w:tcPr>
          <w:p w14:paraId="7AE5A2C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56A21F54" w14:textId="77777777" w:rsidR="003B074D" w:rsidRPr="003B074D" w:rsidRDefault="003B074D" w:rsidP="00837CA0">
            <w:pPr>
              <w:tabs>
                <w:tab w:val="left" w:pos="1947"/>
                <w:tab w:val="left" w:pos="2057"/>
                <w:tab w:val="left" w:pos="2427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Struktura klientów/dostawców/podwykonawców oraz struktury umów dotyczących tych klientów/dostawców, w odniesieniu do zorganizowanej części przedsiębiorstwa </w:t>
            </w:r>
          </w:p>
        </w:tc>
      </w:tr>
      <w:tr w:rsidR="003B074D" w:rsidRPr="00353960" w14:paraId="41859066" w14:textId="77777777" w:rsidTr="00837CA0">
        <w:tc>
          <w:tcPr>
            <w:tcW w:w="704" w:type="dxa"/>
          </w:tcPr>
          <w:p w14:paraId="1478557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6772FDF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Lista 10 istotnych klientów wraz ze wskazaniem procentowego udziału w obrotach</w:t>
            </w:r>
          </w:p>
        </w:tc>
      </w:tr>
      <w:tr w:rsidR="003B074D" w:rsidRPr="00353960" w14:paraId="52BBA9DA" w14:textId="77777777" w:rsidTr="00837CA0">
        <w:tc>
          <w:tcPr>
            <w:tcW w:w="704" w:type="dxa"/>
          </w:tcPr>
          <w:p w14:paraId="3C015E3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B88308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Lista 10 istotnych dostawców i podwykonawców wraz ze wskazaniem skali ponoszonych kosztów z tego tytułu </w:t>
            </w:r>
          </w:p>
        </w:tc>
      </w:tr>
      <w:tr w:rsidR="003B074D" w:rsidRPr="00353960" w14:paraId="29795CD5" w14:textId="77777777" w:rsidTr="00837CA0">
        <w:tc>
          <w:tcPr>
            <w:tcW w:w="704" w:type="dxa"/>
          </w:tcPr>
          <w:p w14:paraId="046FEA1D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4750CD0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Kopie umów z klientami/dostawcami/podwykonawca o których mowa powyżej </w:t>
            </w:r>
          </w:p>
        </w:tc>
      </w:tr>
      <w:tr w:rsidR="003B074D" w:rsidRPr="00353960" w14:paraId="4C5A7E3E" w14:textId="77777777" w:rsidTr="00837CA0">
        <w:tc>
          <w:tcPr>
            <w:tcW w:w="704" w:type="dxa"/>
          </w:tcPr>
          <w:p w14:paraId="2FEB25F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6B1CD66A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Kopie umów innych niż wskazane powyżej, a istotnych z punktu zorganizowanej części przedsiębiorstwa </w:t>
            </w:r>
          </w:p>
        </w:tc>
      </w:tr>
      <w:tr w:rsidR="003B074D" w:rsidRPr="00353960" w14:paraId="20A8DBC6" w14:textId="77777777" w:rsidTr="00837CA0">
        <w:tc>
          <w:tcPr>
            <w:tcW w:w="704" w:type="dxa"/>
          </w:tcPr>
          <w:p w14:paraId="46A9F35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00E9B3F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Kopie umów długoterminowych tj. pow. 2 lat bez możliwości wcześniejszego rozwiązania </w:t>
            </w:r>
          </w:p>
        </w:tc>
      </w:tr>
      <w:tr w:rsidR="003B074D" w:rsidRPr="00353960" w14:paraId="6AA4D205" w14:textId="77777777" w:rsidTr="00837CA0">
        <w:tc>
          <w:tcPr>
            <w:tcW w:w="704" w:type="dxa"/>
          </w:tcPr>
          <w:p w14:paraId="09040FC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7</w:t>
            </w:r>
          </w:p>
        </w:tc>
        <w:tc>
          <w:tcPr>
            <w:tcW w:w="8358" w:type="dxa"/>
          </w:tcPr>
          <w:p w14:paraId="7BDD0F6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Lista roszczeń ze wskazaniem podstaw</w:t>
            </w:r>
          </w:p>
        </w:tc>
      </w:tr>
      <w:tr w:rsidR="003B074D" w:rsidRPr="00353960" w14:paraId="161AB0BE" w14:textId="77777777" w:rsidTr="00837CA0">
        <w:tc>
          <w:tcPr>
            <w:tcW w:w="704" w:type="dxa"/>
          </w:tcPr>
          <w:p w14:paraId="501A0C1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8</w:t>
            </w:r>
          </w:p>
        </w:tc>
        <w:tc>
          <w:tcPr>
            <w:tcW w:w="8358" w:type="dxa"/>
          </w:tcPr>
          <w:p w14:paraId="124FAFD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Umowy dotyczące finasowania m.in. kredytowe, pożyczki, gwarancje, zabezpieczenia, leasing, faktoring w zakresie odnoszący się do zorganizowanej części przedsiębiorstwa </w:t>
            </w:r>
          </w:p>
        </w:tc>
      </w:tr>
      <w:tr w:rsidR="003B074D" w:rsidRPr="0077108A" w14:paraId="24683904" w14:textId="77777777" w:rsidTr="00837CA0">
        <w:tc>
          <w:tcPr>
            <w:tcW w:w="704" w:type="dxa"/>
            <w:shd w:val="clear" w:color="auto" w:fill="FAE2D5" w:themeFill="accent2" w:themeFillTint="33"/>
          </w:tcPr>
          <w:p w14:paraId="18FB1B6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74560E1C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Pomoc publiczna </w:t>
            </w:r>
          </w:p>
        </w:tc>
      </w:tr>
      <w:tr w:rsidR="003B074D" w:rsidRPr="00353960" w14:paraId="07C56BE9" w14:textId="77777777" w:rsidTr="00837CA0">
        <w:tc>
          <w:tcPr>
            <w:tcW w:w="704" w:type="dxa"/>
          </w:tcPr>
          <w:p w14:paraId="4D60170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7A6174A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Informacje o otrzymanej przez spółkę pomocy publicznej, dotacjach i związane z tym obowiązki dla spółki </w:t>
            </w:r>
          </w:p>
        </w:tc>
      </w:tr>
      <w:tr w:rsidR="003B074D" w:rsidRPr="00353960" w14:paraId="6D58A3D8" w14:textId="77777777" w:rsidTr="00837CA0">
        <w:tc>
          <w:tcPr>
            <w:tcW w:w="704" w:type="dxa"/>
          </w:tcPr>
          <w:p w14:paraId="3BC98E8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3E6CC1E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Tarcze antykryzysowe i pomoce związane m.in. z COVID-19, energią </w:t>
            </w:r>
            <w:r w:rsidRPr="003B074D">
              <w:rPr>
                <w:rFonts w:ascii="Montserrat" w:hAnsi="Montserrat" w:cstheme="majorHAnsi"/>
                <w:sz w:val="18"/>
                <w:szCs w:val="18"/>
              </w:rPr>
              <w:tab/>
            </w:r>
          </w:p>
        </w:tc>
      </w:tr>
      <w:tr w:rsidR="003B074D" w:rsidRPr="00353960" w14:paraId="35863113" w14:textId="77777777" w:rsidTr="00837CA0">
        <w:tc>
          <w:tcPr>
            <w:tcW w:w="704" w:type="dxa"/>
          </w:tcPr>
          <w:p w14:paraId="7C92943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E4E1B9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Spory związane z otrzymaną pomocą publiczną, w tym potencjalne spory oraz postępowania kontrolne</w:t>
            </w:r>
          </w:p>
        </w:tc>
      </w:tr>
      <w:tr w:rsidR="003B074D" w:rsidRPr="0077108A" w14:paraId="61982E4B" w14:textId="77777777" w:rsidTr="00837CA0">
        <w:tc>
          <w:tcPr>
            <w:tcW w:w="704" w:type="dxa"/>
            <w:shd w:val="clear" w:color="auto" w:fill="FAE2D5" w:themeFill="accent2" w:themeFillTint="33"/>
          </w:tcPr>
          <w:p w14:paraId="781573F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6A0F21FF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>Zgody, zezwolenia, ubezpieczenia</w:t>
            </w:r>
          </w:p>
        </w:tc>
      </w:tr>
      <w:tr w:rsidR="003B074D" w:rsidRPr="00353960" w14:paraId="00CC07CC" w14:textId="77777777" w:rsidTr="00837CA0">
        <w:tc>
          <w:tcPr>
            <w:tcW w:w="704" w:type="dxa"/>
          </w:tcPr>
          <w:p w14:paraId="2634DA5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54A95FC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posiadanych decyzji administracyjnych, w szczególności w zakresie ochrony środowiska, ochrony konserwatorskiej</w:t>
            </w:r>
          </w:p>
        </w:tc>
      </w:tr>
      <w:tr w:rsidR="003B074D" w:rsidRPr="00353960" w14:paraId="0C824851" w14:textId="77777777" w:rsidTr="00837CA0">
        <w:tc>
          <w:tcPr>
            <w:tcW w:w="704" w:type="dxa"/>
          </w:tcPr>
          <w:p w14:paraId="2E53E0E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62E87FF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Gospodarka odpadami </w:t>
            </w:r>
          </w:p>
        </w:tc>
      </w:tr>
      <w:tr w:rsidR="003B074D" w:rsidRPr="00353960" w14:paraId="42907D9F" w14:textId="77777777" w:rsidTr="00837CA0">
        <w:trPr>
          <w:trHeight w:val="65"/>
        </w:trPr>
        <w:tc>
          <w:tcPr>
            <w:tcW w:w="704" w:type="dxa"/>
          </w:tcPr>
          <w:p w14:paraId="7D1D06EA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5D9F47C0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Decyzje inwestycyjne związane z nieruchomościami </w:t>
            </w:r>
          </w:p>
        </w:tc>
      </w:tr>
      <w:tr w:rsidR="003B074D" w14:paraId="2A71DC0E" w14:textId="77777777" w:rsidTr="00837CA0">
        <w:trPr>
          <w:trHeight w:val="65"/>
        </w:trPr>
        <w:tc>
          <w:tcPr>
            <w:tcW w:w="704" w:type="dxa"/>
          </w:tcPr>
          <w:p w14:paraId="3C3013A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1B6FC8AA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Kontrole, spory i roszczenia </w:t>
            </w:r>
          </w:p>
        </w:tc>
      </w:tr>
      <w:tr w:rsidR="003B074D" w14:paraId="5591C839" w14:textId="77777777" w:rsidTr="00837CA0">
        <w:tc>
          <w:tcPr>
            <w:tcW w:w="704" w:type="dxa"/>
            <w:shd w:val="clear" w:color="auto" w:fill="auto"/>
          </w:tcPr>
          <w:p w14:paraId="6D13C4B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8358" w:type="dxa"/>
            <w:shd w:val="clear" w:color="auto" w:fill="auto"/>
          </w:tcPr>
          <w:p w14:paraId="2A6DE90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Umowy ubezpieczenia związane ze zorganizowaną częścią przedsiębiorstwa, w tym związane z pracownikami </w:t>
            </w:r>
          </w:p>
        </w:tc>
      </w:tr>
      <w:tr w:rsidR="003B074D" w:rsidRPr="0077108A" w14:paraId="26BDE92A" w14:textId="77777777" w:rsidTr="00837CA0">
        <w:tc>
          <w:tcPr>
            <w:tcW w:w="704" w:type="dxa"/>
            <w:shd w:val="clear" w:color="auto" w:fill="FAE2D5" w:themeFill="accent2" w:themeFillTint="33"/>
          </w:tcPr>
          <w:p w14:paraId="54BB174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2878360A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>Własność intelektualna i IT</w:t>
            </w:r>
          </w:p>
        </w:tc>
      </w:tr>
      <w:tr w:rsidR="003B074D" w:rsidRPr="00353960" w14:paraId="3004C23D" w14:textId="77777777" w:rsidTr="00837CA0">
        <w:tc>
          <w:tcPr>
            <w:tcW w:w="704" w:type="dxa"/>
          </w:tcPr>
          <w:p w14:paraId="5EA6A754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3A6E2EC3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Wykaz prawa własności intelektualnej przysługujące spółce w odniesieniu do zorganizowanej części przedsiębiorstwa, w tym logotypy, znaki towarowe, patenty, wzory użytkowe, przemysłowe, umowy licencyjne, przeniesienia praw autorskich  </w:t>
            </w:r>
          </w:p>
        </w:tc>
      </w:tr>
      <w:tr w:rsidR="003B074D" w:rsidRPr="00353960" w14:paraId="76D4258F" w14:textId="77777777" w:rsidTr="00837CA0">
        <w:tc>
          <w:tcPr>
            <w:tcW w:w="704" w:type="dxa"/>
          </w:tcPr>
          <w:p w14:paraId="419C580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25E900E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Lista praw własności intelektualnej do których upoważnione są podmioty trzecie wraz z kopiami umów </w:t>
            </w:r>
          </w:p>
        </w:tc>
      </w:tr>
      <w:tr w:rsidR="003B074D" w:rsidRPr="00353960" w14:paraId="50C853D3" w14:textId="77777777" w:rsidTr="00837CA0">
        <w:tc>
          <w:tcPr>
            <w:tcW w:w="704" w:type="dxa"/>
          </w:tcPr>
          <w:p w14:paraId="43B1CD0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7130C3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Oprogramowanie IT, zarejestrowane domeny, regulaminy stron</w:t>
            </w:r>
          </w:p>
        </w:tc>
      </w:tr>
      <w:tr w:rsidR="003B074D" w:rsidRPr="00353960" w14:paraId="525FC81F" w14:textId="77777777" w:rsidTr="00837CA0">
        <w:tc>
          <w:tcPr>
            <w:tcW w:w="704" w:type="dxa"/>
          </w:tcPr>
          <w:p w14:paraId="3044A82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4F4E77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Znaki jakości </w:t>
            </w:r>
          </w:p>
        </w:tc>
      </w:tr>
      <w:tr w:rsidR="003B074D" w:rsidRPr="00353960" w14:paraId="25FE75CD" w14:textId="77777777" w:rsidTr="00837CA0">
        <w:tc>
          <w:tcPr>
            <w:tcW w:w="704" w:type="dxa"/>
          </w:tcPr>
          <w:p w14:paraId="3F8D209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2427CD5F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Poufność i tajemnica przedsiębiorstwa </w:t>
            </w:r>
          </w:p>
        </w:tc>
      </w:tr>
      <w:tr w:rsidR="003B074D" w:rsidRPr="00353960" w14:paraId="6EAB8336" w14:textId="77777777" w:rsidTr="00837CA0">
        <w:tc>
          <w:tcPr>
            <w:tcW w:w="704" w:type="dxa"/>
          </w:tcPr>
          <w:p w14:paraId="2DFA0D78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6CE37FD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Zaświadczenia o braku zaległości w opłatach (lub potwierdzenia płatności)</w:t>
            </w:r>
          </w:p>
        </w:tc>
      </w:tr>
      <w:tr w:rsidR="003B074D" w:rsidRPr="0077108A" w14:paraId="638F7D20" w14:textId="77777777" w:rsidTr="00837CA0">
        <w:tc>
          <w:tcPr>
            <w:tcW w:w="704" w:type="dxa"/>
            <w:shd w:val="clear" w:color="auto" w:fill="FAE2D5" w:themeFill="accent2" w:themeFillTint="33"/>
          </w:tcPr>
          <w:p w14:paraId="44D5AC6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5444842C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Postępowania sądowe, administracyjne, egzekucyjne </w:t>
            </w:r>
          </w:p>
        </w:tc>
      </w:tr>
      <w:tr w:rsidR="003B074D" w:rsidRPr="00353960" w14:paraId="22257FC9" w14:textId="77777777" w:rsidTr="00837CA0">
        <w:tc>
          <w:tcPr>
            <w:tcW w:w="704" w:type="dxa"/>
          </w:tcPr>
          <w:p w14:paraId="12C0191B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1</w:t>
            </w:r>
          </w:p>
        </w:tc>
        <w:tc>
          <w:tcPr>
            <w:tcW w:w="8358" w:type="dxa"/>
          </w:tcPr>
          <w:p w14:paraId="6E8FEA89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aktualnych postępowań sądowych wraz ze wskazaniem podstawy sporu, wartości, stron postępowania</w:t>
            </w:r>
          </w:p>
        </w:tc>
      </w:tr>
      <w:tr w:rsidR="003B074D" w:rsidRPr="00353960" w14:paraId="66AA43C7" w14:textId="77777777" w:rsidTr="00837CA0">
        <w:tc>
          <w:tcPr>
            <w:tcW w:w="704" w:type="dxa"/>
          </w:tcPr>
          <w:p w14:paraId="13A3F8C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148C551F" w14:textId="77777777" w:rsidR="003B074D" w:rsidRPr="003B074D" w:rsidRDefault="003B074D" w:rsidP="00837CA0">
            <w:pPr>
              <w:tabs>
                <w:tab w:val="left" w:pos="2469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wydanych orzeczeń (postanowień, wyroków) za ostatnie 6 lat</w:t>
            </w:r>
          </w:p>
        </w:tc>
      </w:tr>
      <w:tr w:rsidR="003B074D" w:rsidRPr="00353960" w14:paraId="0154FF77" w14:textId="77777777" w:rsidTr="00837CA0">
        <w:tc>
          <w:tcPr>
            <w:tcW w:w="704" w:type="dxa"/>
          </w:tcPr>
          <w:p w14:paraId="2CF7080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BFAD89F" w14:textId="77777777" w:rsidR="003B074D" w:rsidRPr="003B074D" w:rsidRDefault="003B074D" w:rsidP="00837CA0">
            <w:pPr>
              <w:tabs>
                <w:tab w:val="left" w:pos="2757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zawartych ugód oraz informacje o realizacji ugód</w:t>
            </w:r>
          </w:p>
        </w:tc>
      </w:tr>
      <w:tr w:rsidR="003B074D" w:rsidRPr="00353960" w14:paraId="0969DBE8" w14:textId="77777777" w:rsidTr="00837CA0">
        <w:tc>
          <w:tcPr>
            <w:tcW w:w="704" w:type="dxa"/>
          </w:tcPr>
          <w:p w14:paraId="34D93872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0C573A72" w14:textId="77777777" w:rsidR="003B074D" w:rsidRPr="003B074D" w:rsidRDefault="003B074D" w:rsidP="00837CA0">
            <w:pPr>
              <w:tabs>
                <w:tab w:val="left" w:pos="3319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postępowań egzekucyjnych, w tym na skutek wydanego zabezpieczenia</w:t>
            </w:r>
          </w:p>
        </w:tc>
      </w:tr>
      <w:tr w:rsidR="003B074D" w:rsidRPr="00353960" w14:paraId="3EB2DCD4" w14:textId="77777777" w:rsidTr="00837CA0">
        <w:tc>
          <w:tcPr>
            <w:tcW w:w="704" w:type="dxa"/>
          </w:tcPr>
          <w:p w14:paraId="3D25FCC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755E5369" w14:textId="77777777" w:rsidR="003B074D" w:rsidRPr="003B074D" w:rsidRDefault="003B074D" w:rsidP="00837CA0">
            <w:pPr>
              <w:tabs>
                <w:tab w:val="left" w:pos="2592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Wykaz tytułów egzekucyjnych na rzecz i przysługujących spółce</w:t>
            </w:r>
          </w:p>
        </w:tc>
      </w:tr>
      <w:tr w:rsidR="003B074D" w:rsidRPr="00353960" w14:paraId="40B4F2B3" w14:textId="77777777" w:rsidTr="00837CA0">
        <w:tc>
          <w:tcPr>
            <w:tcW w:w="704" w:type="dxa"/>
          </w:tcPr>
          <w:p w14:paraId="6ECE8A4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6</w:t>
            </w:r>
          </w:p>
        </w:tc>
        <w:tc>
          <w:tcPr>
            <w:tcW w:w="8358" w:type="dxa"/>
          </w:tcPr>
          <w:p w14:paraId="049AC645" w14:textId="77777777" w:rsidR="003B074D" w:rsidRPr="003B074D" w:rsidRDefault="003B074D" w:rsidP="00837CA0">
            <w:pPr>
              <w:tabs>
                <w:tab w:val="left" w:pos="2085"/>
              </w:tabs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Informacje związane ze zgłoszeniem wadliwości produktu/wycofaniem produktów</w:t>
            </w:r>
          </w:p>
        </w:tc>
      </w:tr>
      <w:tr w:rsidR="003B074D" w:rsidRPr="0077108A" w14:paraId="59333E93" w14:textId="77777777" w:rsidTr="00837CA0">
        <w:tc>
          <w:tcPr>
            <w:tcW w:w="704" w:type="dxa"/>
            <w:shd w:val="clear" w:color="auto" w:fill="FAE2D5" w:themeFill="accent2" w:themeFillTint="33"/>
          </w:tcPr>
          <w:p w14:paraId="78CF884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FAE2D5" w:themeFill="accent2" w:themeFillTint="33"/>
          </w:tcPr>
          <w:p w14:paraId="4CAB0D8A" w14:textId="77777777" w:rsidR="003B074D" w:rsidRPr="003B074D" w:rsidRDefault="003B074D" w:rsidP="00837CA0">
            <w:pPr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b/>
                <w:bCs/>
                <w:i/>
                <w:iCs/>
                <w:sz w:val="18"/>
                <w:szCs w:val="18"/>
              </w:rPr>
              <w:t xml:space="preserve">Polityka przetwarzania danych osobowych  </w:t>
            </w:r>
          </w:p>
        </w:tc>
      </w:tr>
      <w:tr w:rsidR="003B074D" w:rsidRPr="00353960" w14:paraId="6EA101F9" w14:textId="77777777" w:rsidTr="00837CA0">
        <w:tc>
          <w:tcPr>
            <w:tcW w:w="704" w:type="dxa"/>
          </w:tcPr>
          <w:p w14:paraId="1DF46645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</w:tcPr>
          <w:p w14:paraId="440428E0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Informacja czy została wdrożona polityka przetwarzania danych osobowych m.in. rejestr czynności związanych przetwarzaniem danych osobowych, polityka realizacji praw osób których dane dotyczą, w tym na wypadek naruszenia danych </w:t>
            </w:r>
          </w:p>
        </w:tc>
      </w:tr>
      <w:tr w:rsidR="003B074D" w:rsidRPr="00353960" w14:paraId="51668B7D" w14:textId="77777777" w:rsidTr="00837CA0">
        <w:tc>
          <w:tcPr>
            <w:tcW w:w="704" w:type="dxa"/>
          </w:tcPr>
          <w:p w14:paraId="31D59D2D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</w:tcPr>
          <w:p w14:paraId="6AFB9A97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Umowy powierzenia przetwarzania danych oraz współadministrowania danych </w:t>
            </w:r>
          </w:p>
        </w:tc>
      </w:tr>
      <w:tr w:rsidR="003B074D" w:rsidRPr="00353960" w14:paraId="2C532E6A" w14:textId="77777777" w:rsidTr="00837CA0">
        <w:tc>
          <w:tcPr>
            <w:tcW w:w="704" w:type="dxa"/>
          </w:tcPr>
          <w:p w14:paraId="6602252E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</w:tcPr>
          <w:p w14:paraId="7B594FB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Polityka przetwarzania danych pracowników </w:t>
            </w:r>
          </w:p>
        </w:tc>
      </w:tr>
      <w:tr w:rsidR="003B074D" w:rsidRPr="00353960" w14:paraId="30352F01" w14:textId="77777777" w:rsidTr="00837CA0">
        <w:tc>
          <w:tcPr>
            <w:tcW w:w="704" w:type="dxa"/>
          </w:tcPr>
          <w:p w14:paraId="0E286EC1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</w:tcPr>
          <w:p w14:paraId="402D983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>IOD</w:t>
            </w:r>
          </w:p>
        </w:tc>
      </w:tr>
      <w:tr w:rsidR="003B074D" w:rsidRPr="00353960" w14:paraId="6B18A1E3" w14:textId="77777777" w:rsidTr="00837CA0">
        <w:trPr>
          <w:trHeight w:val="320"/>
        </w:trPr>
        <w:tc>
          <w:tcPr>
            <w:tcW w:w="704" w:type="dxa"/>
          </w:tcPr>
          <w:p w14:paraId="0358F59C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6D316A6" w14:textId="77777777" w:rsidR="003B074D" w:rsidRPr="003B074D" w:rsidRDefault="003B074D" w:rsidP="00837CA0">
            <w:pPr>
              <w:rPr>
                <w:rFonts w:ascii="Montserrat" w:hAnsi="Montserrat" w:cstheme="majorHAnsi"/>
                <w:sz w:val="18"/>
                <w:szCs w:val="18"/>
              </w:rPr>
            </w:pPr>
            <w:r w:rsidRPr="003B074D">
              <w:rPr>
                <w:rFonts w:ascii="Montserrat" w:hAnsi="Montserrat" w:cstheme="majorHAnsi"/>
                <w:sz w:val="18"/>
                <w:szCs w:val="18"/>
              </w:rPr>
              <w:t xml:space="preserve">Postępowania UODO oraz wypadki naruszenia ochrony danych osobowych </w:t>
            </w:r>
          </w:p>
        </w:tc>
      </w:tr>
    </w:tbl>
    <w:p w14:paraId="316FBC00" w14:textId="77777777" w:rsidR="003B074D" w:rsidRDefault="003B074D" w:rsidP="002D4B2B">
      <w:pPr>
        <w:jc w:val="both"/>
        <w:rPr>
          <w:rFonts w:ascii="Montserrat" w:hAnsi="Montserrat"/>
          <w:sz w:val="20"/>
          <w:szCs w:val="20"/>
        </w:rPr>
      </w:pPr>
    </w:p>
    <w:p w14:paraId="4C51A285" w14:textId="2ED57039" w:rsidR="003B074D" w:rsidRDefault="003B074D" w:rsidP="002D4B2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Zastrzegamy, iż zakres badania </w:t>
      </w:r>
      <w:proofErr w:type="spellStart"/>
      <w:r>
        <w:rPr>
          <w:rFonts w:ascii="Montserrat" w:hAnsi="Montserrat"/>
          <w:sz w:val="20"/>
          <w:szCs w:val="20"/>
        </w:rPr>
        <w:t>Due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Diligence</w:t>
      </w:r>
      <w:proofErr w:type="spellEnd"/>
      <w:r>
        <w:rPr>
          <w:rFonts w:ascii="Montserrat" w:hAnsi="Montserrat"/>
          <w:sz w:val="20"/>
          <w:szCs w:val="20"/>
        </w:rPr>
        <w:t xml:space="preserve"> winien zostać dostosowany do potrzeb i uwarunkowań Spółki. Wykonawca może zaproponować także inne aspekty podlegające badaniu – w ramach zaproponowanej ceny ryczałtowej.</w:t>
      </w:r>
    </w:p>
    <w:p w14:paraId="6ED4390B" w14:textId="77777777" w:rsidR="003B074D" w:rsidRDefault="003B074D" w:rsidP="002D4B2B">
      <w:pPr>
        <w:jc w:val="both"/>
        <w:rPr>
          <w:rFonts w:ascii="Montserrat" w:hAnsi="Montserrat"/>
          <w:sz w:val="20"/>
          <w:szCs w:val="20"/>
        </w:rPr>
      </w:pPr>
    </w:p>
    <w:p w14:paraId="552F0C3F" w14:textId="2CF6EF04" w:rsidR="003B074D" w:rsidRDefault="003B074D" w:rsidP="002D4B2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Część II opracowania poszerzy perspektywę badania </w:t>
      </w:r>
      <w:proofErr w:type="spellStart"/>
      <w:r>
        <w:rPr>
          <w:rFonts w:ascii="Montserrat" w:hAnsi="Montserrat"/>
          <w:sz w:val="20"/>
          <w:szCs w:val="20"/>
        </w:rPr>
        <w:t>Due</w:t>
      </w:r>
      <w:proofErr w:type="spellEnd"/>
      <w:r>
        <w:rPr>
          <w:rFonts w:ascii="Montserrat" w:hAnsi="Montserrat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sz w:val="20"/>
          <w:szCs w:val="20"/>
        </w:rPr>
        <w:t>Diligence</w:t>
      </w:r>
      <w:proofErr w:type="spellEnd"/>
      <w:r>
        <w:rPr>
          <w:rFonts w:ascii="Montserrat" w:hAnsi="Montserrat"/>
          <w:sz w:val="20"/>
          <w:szCs w:val="20"/>
        </w:rPr>
        <w:t xml:space="preserve"> o sytuację </w:t>
      </w:r>
      <w:r w:rsidR="00291AA7">
        <w:rPr>
          <w:rFonts w:ascii="Montserrat" w:hAnsi="Montserrat"/>
          <w:sz w:val="20"/>
          <w:szCs w:val="20"/>
        </w:rPr>
        <w:t>Portu Czystej Energii</w:t>
      </w:r>
      <w:r>
        <w:rPr>
          <w:rFonts w:ascii="Montserrat" w:hAnsi="Montserrat"/>
          <w:sz w:val="20"/>
          <w:szCs w:val="20"/>
        </w:rPr>
        <w:t xml:space="preserve"> Sp. z o.o. – w celu wypracowania modelu konsolidacji Spółek i określeniem działań koniecznych do podjęcia – po obu stronach – w celu jej przeprowadzenia.</w:t>
      </w:r>
    </w:p>
    <w:p w14:paraId="05CE11D6" w14:textId="1F3A4D07" w:rsidR="00BA5061" w:rsidRPr="007944FB" w:rsidRDefault="002D4B2B" w:rsidP="002D4B2B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W ramach poszczególnych </w:t>
      </w:r>
      <w:r w:rsidR="003B074D">
        <w:rPr>
          <w:rFonts w:ascii="Montserrat" w:hAnsi="Montserrat"/>
          <w:sz w:val="20"/>
          <w:szCs w:val="20"/>
        </w:rPr>
        <w:t>Działów Części II</w:t>
      </w:r>
      <w:r w:rsidRPr="007944FB">
        <w:rPr>
          <w:rFonts w:ascii="Montserrat" w:hAnsi="Montserrat"/>
          <w:sz w:val="20"/>
          <w:szCs w:val="20"/>
        </w:rPr>
        <w:t xml:space="preserve"> przewiduje się dokonanie co najmniej następujących analiz lub czynności (przy czym zakres prac może zostać poszerzony po zapoznaniu</w:t>
      </w:r>
      <w:r w:rsidR="00491C39" w:rsidRPr="007944FB">
        <w:rPr>
          <w:rFonts w:ascii="Montserrat" w:hAnsi="Montserrat"/>
          <w:sz w:val="20"/>
          <w:szCs w:val="20"/>
        </w:rPr>
        <w:t xml:space="preserve"> członków zespołu</w:t>
      </w:r>
      <w:r w:rsidRPr="007944FB">
        <w:rPr>
          <w:rFonts w:ascii="Montserrat" w:hAnsi="Montserrat"/>
          <w:sz w:val="20"/>
          <w:szCs w:val="20"/>
        </w:rPr>
        <w:t xml:space="preserve"> z dokumentami źródłowymi</w:t>
      </w:r>
      <w:r w:rsidR="00491C39" w:rsidRPr="007944FB">
        <w:rPr>
          <w:rFonts w:ascii="Montserrat" w:hAnsi="Montserrat"/>
          <w:sz w:val="20"/>
          <w:szCs w:val="20"/>
        </w:rPr>
        <w:t xml:space="preserve"> lub na prośbę </w:t>
      </w:r>
      <w:r w:rsidR="003B074D" w:rsidRPr="007944FB">
        <w:rPr>
          <w:rFonts w:ascii="Montserrat" w:hAnsi="Montserrat"/>
          <w:sz w:val="20"/>
          <w:szCs w:val="20"/>
        </w:rPr>
        <w:t>Zamawiającego</w:t>
      </w:r>
      <w:r w:rsidRPr="007944FB">
        <w:rPr>
          <w:rFonts w:ascii="Montserrat" w:hAnsi="Montserrat"/>
          <w:sz w:val="20"/>
          <w:szCs w:val="20"/>
        </w:rPr>
        <w:t xml:space="preserve"> – stosownie do</w:t>
      </w:r>
      <w:r w:rsidR="00491C39" w:rsidRPr="007944FB">
        <w:rPr>
          <w:rFonts w:ascii="Montserrat" w:hAnsi="Montserrat"/>
          <w:sz w:val="20"/>
          <w:szCs w:val="20"/>
        </w:rPr>
        <w:t xml:space="preserve"> jego</w:t>
      </w:r>
      <w:r w:rsidRPr="007944FB">
        <w:rPr>
          <w:rFonts w:ascii="Montserrat" w:hAnsi="Montserrat"/>
          <w:sz w:val="20"/>
          <w:szCs w:val="20"/>
        </w:rPr>
        <w:t xml:space="preserve"> potrzeb):</w:t>
      </w:r>
    </w:p>
    <w:p w14:paraId="67481172" w14:textId="77777777" w:rsidR="002D4B2B" w:rsidRPr="007944FB" w:rsidRDefault="002D4B2B" w:rsidP="002D4B2B">
      <w:pPr>
        <w:jc w:val="both"/>
        <w:rPr>
          <w:rFonts w:ascii="Montserrat" w:hAnsi="Montserrat"/>
          <w:sz w:val="20"/>
          <w:szCs w:val="20"/>
        </w:rPr>
      </w:pPr>
    </w:p>
    <w:p w14:paraId="4C754988" w14:textId="59B94E51" w:rsidR="002D4B2B" w:rsidRPr="00663219" w:rsidRDefault="002D4B2B" w:rsidP="002D4B2B">
      <w:pPr>
        <w:pStyle w:val="Akapitzlist"/>
        <w:numPr>
          <w:ilvl w:val="0"/>
          <w:numId w:val="4"/>
        </w:numPr>
        <w:jc w:val="both"/>
        <w:rPr>
          <w:rFonts w:ascii="Montserrat" w:hAnsi="Montserrat"/>
          <w:b/>
          <w:bCs/>
          <w:sz w:val="20"/>
          <w:szCs w:val="20"/>
        </w:rPr>
      </w:pPr>
      <w:r w:rsidRPr="007944FB">
        <w:rPr>
          <w:rFonts w:ascii="Montserrat" w:hAnsi="Montserrat"/>
          <w:b/>
          <w:bCs/>
          <w:sz w:val="20"/>
          <w:szCs w:val="20"/>
        </w:rPr>
        <w:t>Zagadnienia prawne</w:t>
      </w:r>
    </w:p>
    <w:p w14:paraId="47AB80B0" w14:textId="03479DD7" w:rsidR="002D4B2B" w:rsidRPr="007944FB" w:rsidRDefault="002D4B2B" w:rsidP="002D4B2B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Dopuszczalne modele konsolidacji – omówienie</w:t>
      </w:r>
      <w:r w:rsidR="00491C39" w:rsidRPr="007944FB">
        <w:rPr>
          <w:rFonts w:ascii="Montserrat" w:hAnsi="Montserrat"/>
          <w:sz w:val="20"/>
          <w:szCs w:val="20"/>
        </w:rPr>
        <w:t xml:space="preserve"> oraz formalności</w:t>
      </w:r>
      <w:r w:rsidR="00A739BF" w:rsidRPr="007944FB">
        <w:rPr>
          <w:rFonts w:ascii="Montserrat" w:hAnsi="Montserrat"/>
          <w:sz w:val="20"/>
          <w:szCs w:val="20"/>
        </w:rPr>
        <w:t>.</w:t>
      </w:r>
    </w:p>
    <w:p w14:paraId="1F1DF036" w14:textId="23B719B6" w:rsidR="00A739BF" w:rsidRPr="007944FB" w:rsidRDefault="002D4B2B" w:rsidP="00A739BF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Umowy zawarte przez PCE i ZU - dopuszczalność zmian podmiotowych, </w:t>
      </w:r>
      <w:r w:rsidR="00A739BF" w:rsidRPr="007944FB">
        <w:rPr>
          <w:rFonts w:ascii="Montserrat" w:hAnsi="Montserrat"/>
          <w:sz w:val="20"/>
          <w:szCs w:val="20"/>
        </w:rPr>
        <w:t xml:space="preserve">opis </w:t>
      </w:r>
      <w:r w:rsidRPr="007944FB">
        <w:rPr>
          <w:rFonts w:ascii="Montserrat" w:hAnsi="Montserrat"/>
          <w:sz w:val="20"/>
          <w:szCs w:val="20"/>
        </w:rPr>
        <w:t>procedury</w:t>
      </w:r>
      <w:r w:rsidR="00A739BF" w:rsidRPr="007944FB">
        <w:rPr>
          <w:rFonts w:ascii="Montserrat" w:hAnsi="Montserrat"/>
          <w:sz w:val="20"/>
          <w:szCs w:val="20"/>
        </w:rPr>
        <w:t xml:space="preserve"> oraz</w:t>
      </w:r>
      <w:r w:rsidRPr="007944FB">
        <w:rPr>
          <w:rFonts w:ascii="Montserrat" w:hAnsi="Montserrat"/>
          <w:sz w:val="20"/>
          <w:szCs w:val="20"/>
        </w:rPr>
        <w:t xml:space="preserve"> formalności</w:t>
      </w:r>
      <w:r w:rsidR="00A739BF" w:rsidRPr="007944FB">
        <w:rPr>
          <w:rFonts w:ascii="Montserrat" w:hAnsi="Montserrat"/>
          <w:sz w:val="20"/>
          <w:szCs w:val="20"/>
        </w:rPr>
        <w:t>, których należy dopełnić w celu dokonania zmian podmiotowych, w szczególności w odniesieniu do:</w:t>
      </w:r>
    </w:p>
    <w:p w14:paraId="550B3A0F" w14:textId="7E804E96" w:rsidR="002D4B2B" w:rsidRPr="007944FB" w:rsidRDefault="002D4B2B" w:rsidP="00A739BF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Um</w:t>
      </w:r>
      <w:r w:rsidR="00A739BF" w:rsidRPr="007944FB">
        <w:rPr>
          <w:rFonts w:ascii="Montserrat" w:hAnsi="Montserrat"/>
          <w:sz w:val="20"/>
          <w:szCs w:val="20"/>
        </w:rPr>
        <w:t>ó</w:t>
      </w:r>
      <w:r w:rsidRPr="007944FB">
        <w:rPr>
          <w:rFonts w:ascii="Montserrat" w:hAnsi="Montserrat"/>
          <w:sz w:val="20"/>
          <w:szCs w:val="20"/>
        </w:rPr>
        <w:t>w</w:t>
      </w:r>
      <w:r w:rsidR="00A739BF" w:rsidRPr="007944FB">
        <w:rPr>
          <w:rFonts w:ascii="Montserrat" w:hAnsi="Montserrat"/>
          <w:sz w:val="20"/>
          <w:szCs w:val="20"/>
        </w:rPr>
        <w:t xml:space="preserve"> </w:t>
      </w:r>
      <w:r w:rsidRPr="007944FB">
        <w:rPr>
          <w:rFonts w:ascii="Montserrat" w:hAnsi="Montserrat"/>
          <w:sz w:val="20"/>
          <w:szCs w:val="20"/>
        </w:rPr>
        <w:t>o dofinansowanie i um</w:t>
      </w:r>
      <w:r w:rsidR="00A739BF" w:rsidRPr="007944FB">
        <w:rPr>
          <w:rFonts w:ascii="Montserrat" w:hAnsi="Montserrat"/>
          <w:sz w:val="20"/>
          <w:szCs w:val="20"/>
        </w:rPr>
        <w:t>ó</w:t>
      </w:r>
      <w:r w:rsidRPr="007944FB">
        <w:rPr>
          <w:rFonts w:ascii="Montserrat" w:hAnsi="Montserrat"/>
          <w:sz w:val="20"/>
          <w:szCs w:val="20"/>
        </w:rPr>
        <w:t>w pożyczki</w:t>
      </w:r>
      <w:r w:rsidR="00A739BF" w:rsidRPr="007944FB">
        <w:rPr>
          <w:rFonts w:ascii="Montserrat" w:hAnsi="Montserrat"/>
          <w:sz w:val="20"/>
          <w:szCs w:val="20"/>
        </w:rPr>
        <w:t>,</w:t>
      </w:r>
    </w:p>
    <w:p w14:paraId="7DEFC89C" w14:textId="2DC838DB" w:rsidR="002D4B2B" w:rsidRPr="007944FB" w:rsidRDefault="002D4B2B" w:rsidP="00A739BF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Um</w:t>
      </w:r>
      <w:r w:rsidR="00A739BF" w:rsidRPr="007944FB">
        <w:rPr>
          <w:rFonts w:ascii="Montserrat" w:hAnsi="Montserrat"/>
          <w:sz w:val="20"/>
          <w:szCs w:val="20"/>
        </w:rPr>
        <w:t>ó</w:t>
      </w:r>
      <w:r w:rsidRPr="007944FB">
        <w:rPr>
          <w:rFonts w:ascii="Montserrat" w:hAnsi="Montserrat"/>
          <w:sz w:val="20"/>
          <w:szCs w:val="20"/>
        </w:rPr>
        <w:t>w kredytow</w:t>
      </w:r>
      <w:r w:rsidR="00A739BF" w:rsidRPr="007944FB">
        <w:rPr>
          <w:rFonts w:ascii="Montserrat" w:hAnsi="Montserrat"/>
          <w:sz w:val="20"/>
          <w:szCs w:val="20"/>
        </w:rPr>
        <w:t>ych,</w:t>
      </w:r>
    </w:p>
    <w:p w14:paraId="4C08DAB8" w14:textId="3D47AF04" w:rsidR="002D4B2B" w:rsidRPr="007944FB" w:rsidRDefault="002D4B2B" w:rsidP="00A739BF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Um</w:t>
      </w:r>
      <w:r w:rsidR="00A739BF" w:rsidRPr="007944FB">
        <w:rPr>
          <w:rFonts w:ascii="Montserrat" w:hAnsi="Montserrat"/>
          <w:sz w:val="20"/>
          <w:szCs w:val="20"/>
        </w:rPr>
        <w:t>ó</w:t>
      </w:r>
      <w:r w:rsidRPr="007944FB">
        <w:rPr>
          <w:rFonts w:ascii="Montserrat" w:hAnsi="Montserrat"/>
          <w:sz w:val="20"/>
          <w:szCs w:val="20"/>
        </w:rPr>
        <w:t>w</w:t>
      </w:r>
      <w:r w:rsidR="00A739BF" w:rsidRPr="007944FB">
        <w:rPr>
          <w:rFonts w:ascii="Montserrat" w:hAnsi="Montserrat"/>
          <w:sz w:val="20"/>
          <w:szCs w:val="20"/>
        </w:rPr>
        <w:t xml:space="preserve"> o świadczenie usług, itp.</w:t>
      </w:r>
    </w:p>
    <w:p w14:paraId="01B9568D" w14:textId="54E7B948" w:rsidR="00A739BF" w:rsidRPr="007944FB" w:rsidRDefault="00A739BF" w:rsidP="00A739BF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Umowy zawarte pomiędzy PCE i ZU – wpływ konsolidacji na wykonywanie umów, rozwiązania prawne w przypadku sprzeczności interesów.</w:t>
      </w:r>
    </w:p>
    <w:p w14:paraId="1E000E7C" w14:textId="23AA8E05" w:rsidR="00A739BF" w:rsidRPr="007944FB" w:rsidRDefault="00A739BF" w:rsidP="00A739BF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Umowy powierzenia i Umowy „in-</w:t>
      </w:r>
      <w:proofErr w:type="spellStart"/>
      <w:r w:rsidRPr="007944FB">
        <w:rPr>
          <w:rFonts w:ascii="Montserrat" w:hAnsi="Montserrat"/>
          <w:sz w:val="20"/>
          <w:szCs w:val="20"/>
        </w:rPr>
        <w:t>house</w:t>
      </w:r>
      <w:proofErr w:type="spellEnd"/>
      <w:r w:rsidRPr="007944FB">
        <w:rPr>
          <w:rFonts w:ascii="Montserrat" w:hAnsi="Montserrat"/>
          <w:sz w:val="20"/>
          <w:szCs w:val="20"/>
        </w:rPr>
        <w:t xml:space="preserve">” – analiza trwałości przesłanek powierzenia i udzielenia zamówień „in </w:t>
      </w:r>
      <w:proofErr w:type="spellStart"/>
      <w:r w:rsidRPr="007944FB">
        <w:rPr>
          <w:rFonts w:ascii="Montserrat" w:hAnsi="Montserrat"/>
          <w:sz w:val="20"/>
          <w:szCs w:val="20"/>
        </w:rPr>
        <w:t>house</w:t>
      </w:r>
      <w:proofErr w:type="spellEnd"/>
      <w:r w:rsidRPr="007944FB">
        <w:rPr>
          <w:rFonts w:ascii="Montserrat" w:hAnsi="Montserrat"/>
          <w:sz w:val="20"/>
          <w:szCs w:val="20"/>
        </w:rPr>
        <w:t>” oraz realizacji zadań powierzonych, z uwzględnieniem otoczenia prawnego (GMG jako właściciel</w:t>
      </w:r>
      <w:r w:rsidR="00491C39" w:rsidRPr="007944FB">
        <w:rPr>
          <w:rFonts w:ascii="Montserrat" w:hAnsi="Montserrat"/>
          <w:sz w:val="20"/>
          <w:szCs w:val="20"/>
        </w:rPr>
        <w:t xml:space="preserve">, </w:t>
      </w:r>
      <w:r w:rsidR="007944FB" w:rsidRPr="007944FB">
        <w:rPr>
          <w:rFonts w:ascii="Montserrat" w:hAnsi="Montserrat"/>
          <w:sz w:val="20"/>
          <w:szCs w:val="20"/>
        </w:rPr>
        <w:t>Uchwały RMG</w:t>
      </w:r>
      <w:r w:rsidRPr="007944FB">
        <w:rPr>
          <w:rFonts w:ascii="Montserrat" w:hAnsi="Montserrat"/>
          <w:sz w:val="20"/>
          <w:szCs w:val="20"/>
        </w:rPr>
        <w:t>).</w:t>
      </w:r>
    </w:p>
    <w:p w14:paraId="0FDEFA3A" w14:textId="61AA80CC" w:rsidR="002D4B2B" w:rsidRPr="007944FB" w:rsidRDefault="002D4B2B" w:rsidP="00A739BF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Prawo pracy – obowiązki pracodawcy związane z </w:t>
      </w:r>
      <w:r w:rsidR="00A739BF" w:rsidRPr="007944FB">
        <w:rPr>
          <w:rFonts w:ascii="Montserrat" w:hAnsi="Montserrat"/>
          <w:sz w:val="20"/>
          <w:szCs w:val="20"/>
        </w:rPr>
        <w:t>konsolidacją, określenie udziału związków zawodowych, reprezentacji załogi</w:t>
      </w:r>
      <w:r w:rsidR="00DD5848" w:rsidRPr="007944FB">
        <w:rPr>
          <w:rFonts w:ascii="Montserrat" w:hAnsi="Montserrat"/>
          <w:sz w:val="20"/>
          <w:szCs w:val="20"/>
        </w:rPr>
        <w:t>, opracowanie kalendarium działań do podjęcia przez Spółki</w:t>
      </w:r>
      <w:r w:rsidR="00A739BF" w:rsidRPr="007944FB">
        <w:rPr>
          <w:rFonts w:ascii="Montserrat" w:hAnsi="Montserrat"/>
          <w:sz w:val="20"/>
          <w:szCs w:val="20"/>
        </w:rPr>
        <w:t>.</w:t>
      </w:r>
    </w:p>
    <w:p w14:paraId="4D98EA2D" w14:textId="294C3BB3" w:rsidR="00A739BF" w:rsidRPr="007944FB" w:rsidRDefault="00A739BF" w:rsidP="00A739BF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lastRenderedPageBreak/>
        <w:t>Zezwolenia, koncesje, ulgi – dopuszczalność zmian podmiotowych, procedura zmian decyzji administracyjnych.</w:t>
      </w:r>
    </w:p>
    <w:p w14:paraId="53590AC3" w14:textId="148C1099" w:rsidR="00390688" w:rsidRPr="007944FB" w:rsidRDefault="00390688" w:rsidP="00390688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Zabezpieczenia udzielone przez Spółki – dopuszczalność zmian podmiotowych, aspekty formalne wynikające ze zmian.</w:t>
      </w:r>
    </w:p>
    <w:p w14:paraId="7F2EBA7E" w14:textId="1C97924C" w:rsidR="00122226" w:rsidRPr="007944FB" w:rsidRDefault="00122226" w:rsidP="00390688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Własność nieruchomości oraz inne prawa podlegające ujawnieniu w rejestrach – zestawienie, obowiązki formalne w związku ze zmianami podmiotowymi</w:t>
      </w:r>
      <w:r w:rsidR="00DD5848" w:rsidRPr="007944FB">
        <w:rPr>
          <w:rFonts w:ascii="Montserrat" w:hAnsi="Montserrat"/>
          <w:sz w:val="20"/>
          <w:szCs w:val="20"/>
        </w:rPr>
        <w:t>.</w:t>
      </w:r>
    </w:p>
    <w:p w14:paraId="52B7A49B" w14:textId="142A62C6" w:rsidR="00DD5848" w:rsidRPr="007944FB" w:rsidRDefault="00DD5848" w:rsidP="00390688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Koncentracja – UOKiK – zbadanie zasadności wystąpienia o zgodę na koncentrację.</w:t>
      </w:r>
    </w:p>
    <w:p w14:paraId="3E5833F6" w14:textId="33A485C7" w:rsidR="00390688" w:rsidRPr="007944FB" w:rsidRDefault="00390688" w:rsidP="00390688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Podsumowanie w postaci zestawienia </w:t>
      </w:r>
      <w:proofErr w:type="spellStart"/>
      <w:r w:rsidRPr="007944FB">
        <w:rPr>
          <w:rFonts w:ascii="Montserrat" w:hAnsi="Montserrat"/>
          <w:sz w:val="20"/>
          <w:szCs w:val="20"/>
        </w:rPr>
        <w:t>ryzyk</w:t>
      </w:r>
      <w:proofErr w:type="spellEnd"/>
      <w:r w:rsidRPr="007944FB">
        <w:rPr>
          <w:rFonts w:ascii="Montserrat" w:hAnsi="Montserrat"/>
          <w:sz w:val="20"/>
          <w:szCs w:val="20"/>
        </w:rPr>
        <w:t xml:space="preserve"> i „czerwonych flag”, a także lista decyzji administracyjnych/opinii/interpretacji</w:t>
      </w:r>
      <w:r w:rsidR="00DD5848" w:rsidRPr="007944FB">
        <w:rPr>
          <w:rFonts w:ascii="Montserrat" w:hAnsi="Montserrat"/>
          <w:sz w:val="20"/>
          <w:szCs w:val="20"/>
        </w:rPr>
        <w:t>/zgód formalnych</w:t>
      </w:r>
      <w:r w:rsidRPr="007944FB">
        <w:rPr>
          <w:rFonts w:ascii="Montserrat" w:hAnsi="Montserrat"/>
          <w:sz w:val="20"/>
          <w:szCs w:val="20"/>
        </w:rPr>
        <w:t xml:space="preserve"> rekomendowanych do uzyskania przez Spółki przed dokonaniem konsolidacji</w:t>
      </w:r>
      <w:r w:rsidR="00DD5848" w:rsidRPr="007944FB">
        <w:rPr>
          <w:rFonts w:ascii="Montserrat" w:hAnsi="Montserrat"/>
          <w:sz w:val="20"/>
          <w:szCs w:val="20"/>
        </w:rPr>
        <w:t>.</w:t>
      </w:r>
    </w:p>
    <w:p w14:paraId="310ACC70" w14:textId="77777777" w:rsidR="00390688" w:rsidRPr="007944FB" w:rsidRDefault="00390688" w:rsidP="00390688">
      <w:pPr>
        <w:pStyle w:val="Akapitzlist"/>
        <w:jc w:val="both"/>
        <w:rPr>
          <w:rFonts w:ascii="Montserrat" w:hAnsi="Montserrat"/>
          <w:sz w:val="20"/>
          <w:szCs w:val="20"/>
        </w:rPr>
      </w:pPr>
    </w:p>
    <w:p w14:paraId="0774A4D3" w14:textId="164F1CF2" w:rsidR="00390688" w:rsidRPr="007944FB" w:rsidRDefault="00390688" w:rsidP="00390688">
      <w:pPr>
        <w:pStyle w:val="Akapitzlist"/>
        <w:numPr>
          <w:ilvl w:val="0"/>
          <w:numId w:val="4"/>
        </w:numPr>
        <w:jc w:val="both"/>
        <w:rPr>
          <w:rFonts w:ascii="Montserrat" w:hAnsi="Montserrat"/>
          <w:b/>
          <w:bCs/>
          <w:sz w:val="20"/>
          <w:szCs w:val="20"/>
        </w:rPr>
      </w:pPr>
      <w:r w:rsidRPr="007944FB">
        <w:rPr>
          <w:rFonts w:ascii="Montserrat" w:hAnsi="Montserrat"/>
          <w:b/>
          <w:bCs/>
          <w:sz w:val="20"/>
          <w:szCs w:val="20"/>
        </w:rPr>
        <w:t>Zagadnienia podatkowe</w:t>
      </w:r>
    </w:p>
    <w:p w14:paraId="620C9090" w14:textId="45B15C04" w:rsidR="00122226" w:rsidRPr="007944FB" w:rsidRDefault="00DD5848" w:rsidP="00DD5848">
      <w:pPr>
        <w:pStyle w:val="v1msolistparagraph"/>
        <w:spacing w:before="0" w:beforeAutospacing="0" w:after="0" w:afterAutospacing="0"/>
        <w:jc w:val="both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W ramach Części II opracowania proponuję sporządzenie a</w:t>
      </w:r>
      <w:r w:rsidR="00122226" w:rsidRPr="007944FB">
        <w:rPr>
          <w:rFonts w:ascii="Montserrat" w:hAnsi="Montserrat" w:cs="Calibri"/>
          <w:color w:val="2C363A"/>
          <w:sz w:val="20"/>
          <w:szCs w:val="20"/>
        </w:rPr>
        <w:t>naliz</w:t>
      </w:r>
      <w:r w:rsidRPr="007944FB">
        <w:rPr>
          <w:rFonts w:ascii="Montserrat" w:hAnsi="Montserrat" w:cs="Calibri"/>
          <w:color w:val="2C363A"/>
          <w:sz w:val="20"/>
          <w:szCs w:val="20"/>
        </w:rPr>
        <w:t>y</w:t>
      </w:r>
      <w:r w:rsidR="00122226" w:rsidRPr="007944FB">
        <w:rPr>
          <w:rFonts w:ascii="Montserrat" w:hAnsi="Montserrat" w:cs="Calibri"/>
          <w:color w:val="2C363A"/>
          <w:sz w:val="20"/>
          <w:szCs w:val="20"/>
        </w:rPr>
        <w:t xml:space="preserve"> podatkow</w:t>
      </w:r>
      <w:r w:rsidRPr="007944FB">
        <w:rPr>
          <w:rFonts w:ascii="Montserrat" w:hAnsi="Montserrat" w:cs="Calibri"/>
          <w:color w:val="2C363A"/>
          <w:sz w:val="20"/>
          <w:szCs w:val="20"/>
        </w:rPr>
        <w:t>ej</w:t>
      </w:r>
      <w:r w:rsidR="00122226" w:rsidRPr="007944FB">
        <w:rPr>
          <w:rFonts w:ascii="Montserrat" w:hAnsi="Montserrat" w:cs="Calibri"/>
          <w:color w:val="2C363A"/>
          <w:sz w:val="20"/>
          <w:szCs w:val="20"/>
        </w:rPr>
        <w:t xml:space="preserve"> w formie opinii podatkowej polegając</w:t>
      </w:r>
      <w:r w:rsidRPr="007944FB">
        <w:rPr>
          <w:rFonts w:ascii="Montserrat" w:hAnsi="Montserrat" w:cs="Calibri"/>
          <w:color w:val="2C363A"/>
          <w:sz w:val="20"/>
          <w:szCs w:val="20"/>
        </w:rPr>
        <w:t>ej</w:t>
      </w:r>
      <w:r w:rsidR="00122226" w:rsidRPr="007944FB">
        <w:rPr>
          <w:rFonts w:ascii="Montserrat" w:hAnsi="Montserrat" w:cs="Calibri"/>
          <w:color w:val="2C363A"/>
          <w:sz w:val="20"/>
          <w:szCs w:val="20"/>
        </w:rPr>
        <w:t xml:space="preserve"> na ocenie ryzyka podatkowego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. Wnioski opinii podatkowej zostaną wykorzystane do </w:t>
      </w:r>
      <w:r w:rsidR="00122226" w:rsidRPr="007944FB">
        <w:rPr>
          <w:rFonts w:ascii="Montserrat" w:hAnsi="Montserrat" w:cs="Calibri"/>
          <w:color w:val="2C363A"/>
          <w:sz w:val="20"/>
          <w:szCs w:val="20"/>
        </w:rPr>
        <w:t>zaproponowania rekomendacji najkorzystniejszego wariantu przeprowadzenia konsolidacji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 w części IV opracowania.</w:t>
      </w:r>
    </w:p>
    <w:p w14:paraId="61849DCD" w14:textId="1C5001B7" w:rsidR="00DD5848" w:rsidRPr="007944FB" w:rsidRDefault="00DD5848" w:rsidP="00DD5848">
      <w:pPr>
        <w:pStyle w:val="v1msolistparagraph"/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podatkowa będzie dotyczyła każdego z zaproponowanych w Części I sposobów konsolidacji w szczególności z uwzględnieniem następujących obszarów:</w:t>
      </w:r>
      <w:r w:rsidRPr="007944FB">
        <w:rPr>
          <w:rStyle w:val="apple-converted-space"/>
          <w:rFonts w:ascii="Montserrat" w:eastAsiaTheme="majorEastAsia" w:hAnsi="Montserrat" w:cs="Calibri"/>
          <w:color w:val="2C363A"/>
          <w:sz w:val="20"/>
          <w:szCs w:val="20"/>
        </w:rPr>
        <w:t> </w:t>
      </w:r>
    </w:p>
    <w:p w14:paraId="37A6B7C9" w14:textId="47AA554E" w:rsidR="00DD5848" w:rsidRPr="007944FB" w:rsidRDefault="00DD5848" w:rsidP="00491C39">
      <w:pPr>
        <w:pStyle w:val="v1msolistparagraph"/>
        <w:numPr>
          <w:ilvl w:val="0"/>
          <w:numId w:val="20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 xml:space="preserve">Podatek dochodowy od osób prawnych 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(</w:t>
      </w:r>
      <w:r w:rsidRPr="007944FB">
        <w:rPr>
          <w:rFonts w:ascii="Montserrat" w:hAnsi="Montserrat" w:cs="Calibri"/>
          <w:color w:val="2C363A"/>
          <w:sz w:val="20"/>
          <w:szCs w:val="20"/>
        </w:rPr>
        <w:t>zwany dalej CIT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):</w:t>
      </w:r>
    </w:p>
    <w:p w14:paraId="43490D0F" w14:textId="6D05BF8D" w:rsidR="00491C39" w:rsidRPr="007944FB" w:rsidRDefault="00DD5848" w:rsidP="00491C3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powstania przychodów (art. 12 ust. 1 pkt. 8f, 8d, 8c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ustawy o CIT</w:t>
      </w:r>
      <w:r w:rsidRPr="007944FB">
        <w:rPr>
          <w:rFonts w:ascii="Montserrat" w:hAnsi="Montserrat" w:cs="Calibri"/>
          <w:color w:val="2C363A"/>
          <w:sz w:val="20"/>
          <w:szCs w:val="20"/>
        </w:rPr>
        <w:t>) po stronie spółki przejmującej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.</w:t>
      </w:r>
    </w:p>
    <w:p w14:paraId="0C9D838E" w14:textId="77777777" w:rsidR="00491C39" w:rsidRPr="007944FB" w:rsidRDefault="00DD5848" w:rsidP="00491C3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kwalifikacji ewentualnych przychodów do źródła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: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 przychody kapitałowe lub pozostałe (art. 7b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ustawy o CIT</w:t>
      </w:r>
      <w:r w:rsidRPr="007944FB">
        <w:rPr>
          <w:rFonts w:ascii="Montserrat" w:hAnsi="Montserrat" w:cs="Calibri"/>
          <w:color w:val="2C363A"/>
          <w:sz w:val="20"/>
          <w:szCs w:val="20"/>
        </w:rPr>
        <w:t>)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.</w:t>
      </w:r>
    </w:p>
    <w:p w14:paraId="5A73BFC9" w14:textId="77777777" w:rsidR="00491C39" w:rsidRPr="007944FB" w:rsidRDefault="00DD5848" w:rsidP="00491C3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 xml:space="preserve">Wpływ zmiany przepisów 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ustawy o CIT </w:t>
      </w:r>
      <w:r w:rsidRPr="007944FB">
        <w:rPr>
          <w:rFonts w:ascii="Montserrat" w:hAnsi="Montserrat" w:cs="Calibri"/>
          <w:color w:val="2C363A"/>
          <w:sz w:val="20"/>
          <w:szCs w:val="20"/>
        </w:rPr>
        <w:t>na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możliwość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 rozliczenie strat podatkowych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przy konsolidacji.</w:t>
      </w:r>
      <w:r w:rsidRPr="007944FB">
        <w:rPr>
          <w:rStyle w:val="apple-converted-space"/>
          <w:rFonts w:ascii="Montserrat" w:eastAsiaTheme="majorEastAsia" w:hAnsi="Montserrat" w:cs="Calibri"/>
          <w:color w:val="2C363A"/>
          <w:sz w:val="20"/>
          <w:szCs w:val="20"/>
        </w:rPr>
        <w:t> </w:t>
      </w:r>
    </w:p>
    <w:p w14:paraId="673AC1DF" w14:textId="77777777" w:rsidR="00491C39" w:rsidRPr="007944FB" w:rsidRDefault="00DD5848" w:rsidP="00491C3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ryzyka związana z wyłącze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>niem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 z przychodów określonych w art. 12 ust. 4 pkt 3e oraz pkt 3f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ustawy o CIT</w:t>
      </w:r>
      <w:r w:rsidRPr="007944FB">
        <w:rPr>
          <w:rFonts w:ascii="Montserrat" w:hAnsi="Montserrat" w:cs="Calibri"/>
          <w:color w:val="2C363A"/>
          <w:sz w:val="20"/>
          <w:szCs w:val="20"/>
        </w:rPr>
        <w:t xml:space="preserve">. </w:t>
      </w:r>
    </w:p>
    <w:p w14:paraId="5DD92F4D" w14:textId="77777777" w:rsidR="00491C39" w:rsidRPr="007944FB" w:rsidRDefault="00DD5848" w:rsidP="00491C3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Przygotowanie uzasadnienia ekonomicznego do procesu restrukturyzacji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(w nawiązaniu do pkt 1 d powyżej)</w:t>
      </w:r>
      <w:r w:rsidRPr="007944FB">
        <w:rPr>
          <w:rFonts w:ascii="Montserrat" w:hAnsi="Montserrat" w:cs="Calibri"/>
          <w:color w:val="2C363A"/>
          <w:sz w:val="20"/>
          <w:szCs w:val="20"/>
        </w:rPr>
        <w:t>.</w:t>
      </w:r>
      <w:r w:rsidRPr="007944FB">
        <w:rPr>
          <w:rStyle w:val="apple-converted-space"/>
          <w:rFonts w:ascii="Montserrat" w:eastAsiaTheme="majorEastAsia" w:hAnsi="Montserrat" w:cs="Calibri"/>
          <w:color w:val="2C363A"/>
          <w:sz w:val="20"/>
          <w:szCs w:val="20"/>
        </w:rPr>
        <w:t> </w:t>
      </w:r>
    </w:p>
    <w:p w14:paraId="1CA66DC1" w14:textId="73136870" w:rsidR="00DD5848" w:rsidRPr="00663219" w:rsidRDefault="00491C39" w:rsidP="00663219">
      <w:pPr>
        <w:pStyle w:val="v1msolistparagraph"/>
        <w:numPr>
          <w:ilvl w:val="0"/>
          <w:numId w:val="11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</w:t>
      </w:r>
      <w:r w:rsidR="00DD5848" w:rsidRPr="007944FB">
        <w:rPr>
          <w:rFonts w:ascii="Montserrat" w:hAnsi="Montserrat" w:cs="Calibri"/>
          <w:color w:val="2C363A"/>
          <w:sz w:val="20"/>
          <w:szCs w:val="20"/>
        </w:rPr>
        <w:t>naliza kosztów związanych z procesem połączenia</w:t>
      </w:r>
      <w:r w:rsidRPr="007944FB">
        <w:rPr>
          <w:rFonts w:ascii="Montserrat" w:hAnsi="Montserrat" w:cs="Calibri"/>
          <w:color w:val="2C363A"/>
          <w:sz w:val="20"/>
          <w:szCs w:val="20"/>
        </w:rPr>
        <w:t>.</w:t>
      </w:r>
      <w:r w:rsidR="00DD5848" w:rsidRPr="00663219">
        <w:rPr>
          <w:rFonts w:ascii="Montserrat" w:hAnsi="Montserrat" w:cs="Calibri"/>
          <w:color w:val="2C363A"/>
          <w:sz w:val="20"/>
          <w:szCs w:val="20"/>
        </w:rPr>
        <w:t> </w:t>
      </w:r>
    </w:p>
    <w:p w14:paraId="5F361428" w14:textId="77777777" w:rsidR="00491C39" w:rsidRPr="007944FB" w:rsidRDefault="00DD5848" w:rsidP="00491C39">
      <w:pPr>
        <w:pStyle w:val="v1msolistparagraph"/>
        <w:numPr>
          <w:ilvl w:val="0"/>
          <w:numId w:val="20"/>
        </w:numPr>
        <w:spacing w:before="0" w:beforeAutospacing="0" w:after="0" w:afterAutospacing="0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Podatek od towarów i usług</w:t>
      </w:r>
      <w:r w:rsidR="00491C39" w:rsidRPr="007944FB">
        <w:rPr>
          <w:rFonts w:ascii="Montserrat" w:hAnsi="Montserrat" w:cs="Calibri"/>
          <w:color w:val="000000"/>
          <w:sz w:val="20"/>
          <w:szCs w:val="20"/>
        </w:rPr>
        <w:t xml:space="preserve"> (zwany dalej VAT). </w:t>
      </w:r>
    </w:p>
    <w:p w14:paraId="5B4C490F" w14:textId="5F0971B5" w:rsidR="00DD5848" w:rsidRPr="007944FB" w:rsidRDefault="00491C39" w:rsidP="00491C39">
      <w:pPr>
        <w:pStyle w:val="v1msolistparagraph"/>
        <w:spacing w:before="0" w:beforeAutospacing="0" w:after="0" w:afterAutospacing="0"/>
        <w:ind w:left="720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P</w:t>
      </w:r>
      <w:r w:rsidR="00DD5848" w:rsidRPr="007944FB">
        <w:rPr>
          <w:rFonts w:ascii="Montserrat" w:hAnsi="Montserrat" w:cs="Calibri"/>
          <w:color w:val="000000"/>
          <w:sz w:val="20"/>
          <w:szCs w:val="20"/>
        </w:rPr>
        <w:t xml:space="preserve">roces </w:t>
      </w:r>
      <w:r w:rsidRPr="007944FB">
        <w:rPr>
          <w:rFonts w:ascii="Montserrat" w:hAnsi="Montserrat" w:cs="Calibri"/>
          <w:color w:val="000000"/>
          <w:sz w:val="20"/>
          <w:szCs w:val="20"/>
        </w:rPr>
        <w:t>konsolidacji</w:t>
      </w:r>
      <w:r w:rsidR="00DD5848" w:rsidRPr="007944FB">
        <w:rPr>
          <w:rFonts w:ascii="Montserrat" w:hAnsi="Montserrat" w:cs="Calibri"/>
          <w:color w:val="000000"/>
          <w:sz w:val="20"/>
          <w:szCs w:val="20"/>
        </w:rPr>
        <w:t xml:space="preserve"> co do zasady jest neutralny w aspekcie VAT</w:t>
      </w:r>
      <w:r w:rsidRPr="007944FB">
        <w:rPr>
          <w:rFonts w:ascii="Montserrat" w:hAnsi="Montserrat" w:cs="Calibri"/>
          <w:color w:val="000000"/>
          <w:sz w:val="20"/>
          <w:szCs w:val="20"/>
        </w:rPr>
        <w:t>.</w:t>
      </w:r>
      <w:r w:rsidR="00DD5848" w:rsidRPr="007944FB">
        <w:rPr>
          <w:rFonts w:ascii="Montserrat" w:hAnsi="Montserrat" w:cs="Calibri"/>
          <w:color w:val="000000"/>
          <w:sz w:val="20"/>
          <w:szCs w:val="20"/>
        </w:rPr>
        <w:t xml:space="preserve"> </w:t>
      </w:r>
      <w:r w:rsidRPr="007944FB">
        <w:rPr>
          <w:rFonts w:ascii="Montserrat" w:hAnsi="Montserrat" w:cs="Calibri"/>
          <w:color w:val="000000"/>
          <w:sz w:val="20"/>
          <w:szCs w:val="20"/>
        </w:rPr>
        <w:t xml:space="preserve">Analiza w zakresie podatku VAT obejmie zatem wyłącznie konsolidację w formie zbycia przedsiębiorstwa oraz wniesienia ZCP. </w:t>
      </w:r>
    </w:p>
    <w:p w14:paraId="189BADA7" w14:textId="32B2DA7A" w:rsidR="00DD5848" w:rsidRPr="007944FB" w:rsidRDefault="00DD5848" w:rsidP="00491C39">
      <w:pPr>
        <w:pStyle w:val="v1msolistparagraph"/>
        <w:numPr>
          <w:ilvl w:val="0"/>
          <w:numId w:val="20"/>
        </w:numPr>
        <w:spacing w:before="0" w:beforeAutospacing="0" w:after="0" w:afterAutospacing="0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Podatek PCC</w:t>
      </w:r>
    </w:p>
    <w:p w14:paraId="2761940B" w14:textId="38D05937" w:rsidR="00DD5848" w:rsidRPr="007944FB" w:rsidRDefault="00DD5848" w:rsidP="00491C39">
      <w:pPr>
        <w:pStyle w:val="v1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 xml:space="preserve">Analiza skutków pod kątem </w:t>
      </w:r>
      <w:r w:rsidR="00491C39" w:rsidRPr="007944FB">
        <w:rPr>
          <w:rFonts w:ascii="Montserrat" w:hAnsi="Montserrat" w:cs="Calibri"/>
          <w:color w:val="000000"/>
          <w:sz w:val="20"/>
          <w:szCs w:val="20"/>
        </w:rPr>
        <w:t>podatku</w:t>
      </w:r>
      <w:r w:rsidRPr="007944FB">
        <w:rPr>
          <w:rFonts w:ascii="Montserrat" w:hAnsi="Montserrat" w:cs="Calibri"/>
          <w:color w:val="000000"/>
          <w:sz w:val="20"/>
          <w:szCs w:val="20"/>
        </w:rPr>
        <w:t xml:space="preserve"> PCC w </w:t>
      </w:r>
      <w:r w:rsidR="00491C39" w:rsidRPr="007944FB">
        <w:rPr>
          <w:rFonts w:ascii="Montserrat" w:hAnsi="Montserrat" w:cs="Calibri"/>
          <w:color w:val="000000"/>
          <w:sz w:val="20"/>
          <w:szCs w:val="20"/>
        </w:rPr>
        <w:t>zależności</w:t>
      </w:r>
      <w:r w:rsidRPr="007944FB">
        <w:rPr>
          <w:rFonts w:ascii="Montserrat" w:hAnsi="Montserrat" w:cs="Calibri"/>
          <w:color w:val="000000"/>
          <w:sz w:val="20"/>
          <w:szCs w:val="20"/>
        </w:rPr>
        <w:t xml:space="preserve"> od wyboru modelu </w:t>
      </w:r>
      <w:r w:rsidR="00491C39" w:rsidRPr="007944FB">
        <w:rPr>
          <w:rFonts w:ascii="Montserrat" w:hAnsi="Montserrat" w:cs="Calibri"/>
          <w:color w:val="000000"/>
          <w:sz w:val="20"/>
          <w:szCs w:val="20"/>
        </w:rPr>
        <w:t>połączenia</w:t>
      </w:r>
      <w:r w:rsidRPr="007944FB">
        <w:rPr>
          <w:rFonts w:ascii="Montserrat" w:hAnsi="Montserrat" w:cs="Calibri"/>
          <w:color w:val="000000"/>
          <w:sz w:val="20"/>
          <w:szCs w:val="20"/>
        </w:rPr>
        <w:t>.</w:t>
      </w:r>
      <w:r w:rsidRPr="007944FB">
        <w:rPr>
          <w:rStyle w:val="apple-converted-space"/>
          <w:rFonts w:ascii="Montserrat" w:eastAsiaTheme="majorEastAsia" w:hAnsi="Montserrat" w:cs="Calibri"/>
          <w:color w:val="000000"/>
          <w:sz w:val="20"/>
          <w:szCs w:val="20"/>
        </w:rPr>
        <w:t> </w:t>
      </w:r>
    </w:p>
    <w:p w14:paraId="77FB5C9C" w14:textId="6FC1A540" w:rsidR="00DD5848" w:rsidRPr="007944FB" w:rsidRDefault="00DD5848" w:rsidP="00491C39">
      <w:pPr>
        <w:pStyle w:val="v1msolistparagraph"/>
        <w:numPr>
          <w:ilvl w:val="0"/>
          <w:numId w:val="20"/>
        </w:numPr>
        <w:spacing w:before="0" w:beforeAutospacing="0" w:after="0" w:afterAutospacing="0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Ordynacja podatkowa</w:t>
      </w:r>
    </w:p>
    <w:p w14:paraId="011CC5C3" w14:textId="7B720137" w:rsidR="00DD5848" w:rsidRPr="007944FB" w:rsidRDefault="00DD5848" w:rsidP="00491C39">
      <w:pPr>
        <w:pStyle w:val="v1msolistparagraph"/>
        <w:numPr>
          <w:ilvl w:val="0"/>
          <w:numId w:val="17"/>
        </w:numPr>
        <w:spacing w:before="0" w:beforeAutospacing="0" w:after="0" w:afterAutospacing="0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Sukce</w:t>
      </w:r>
      <w:r w:rsidR="00491C39" w:rsidRPr="007944FB">
        <w:rPr>
          <w:rFonts w:ascii="Montserrat" w:hAnsi="Montserrat" w:cs="Calibri"/>
          <w:color w:val="000000"/>
          <w:sz w:val="20"/>
          <w:szCs w:val="20"/>
        </w:rPr>
        <w:t>s</w:t>
      </w:r>
      <w:r w:rsidRPr="007944FB">
        <w:rPr>
          <w:rFonts w:ascii="Montserrat" w:hAnsi="Montserrat" w:cs="Calibri"/>
          <w:color w:val="000000"/>
          <w:sz w:val="20"/>
          <w:szCs w:val="20"/>
        </w:rPr>
        <w:t>ja podatkowa</w:t>
      </w:r>
    </w:p>
    <w:p w14:paraId="47DB6B55" w14:textId="0B7553F3" w:rsidR="00DD5848" w:rsidRPr="007944FB" w:rsidRDefault="00DD5848" w:rsidP="00491C39">
      <w:pPr>
        <w:pStyle w:val="v1msolistparagraph"/>
        <w:numPr>
          <w:ilvl w:val="0"/>
          <w:numId w:val="17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tak zwanej „klauzuli przeciwko unikaniu opodatkowania"</w:t>
      </w:r>
      <w:r w:rsidR="00491C39" w:rsidRPr="007944FB">
        <w:rPr>
          <w:rFonts w:ascii="Montserrat" w:hAnsi="Montserrat" w:cs="Calibri"/>
          <w:color w:val="2C363A"/>
          <w:sz w:val="20"/>
          <w:szCs w:val="20"/>
        </w:rPr>
        <w:t xml:space="preserve"> na gruncie Ordynacji podatkowej</w:t>
      </w:r>
    </w:p>
    <w:p w14:paraId="47B17D23" w14:textId="451FEB1A" w:rsidR="00DD5848" w:rsidRPr="007944FB" w:rsidRDefault="00DD5848" w:rsidP="00491C39">
      <w:pPr>
        <w:pStyle w:val="v1msolistparagraph"/>
        <w:numPr>
          <w:ilvl w:val="0"/>
          <w:numId w:val="20"/>
        </w:numPr>
        <w:spacing w:before="0" w:beforeAutospacing="0" w:after="0" w:afterAutospacing="0"/>
        <w:rPr>
          <w:rFonts w:ascii="Montserrat" w:hAnsi="Montserrat" w:cs="Calibri"/>
          <w:color w:val="000000"/>
          <w:sz w:val="20"/>
          <w:szCs w:val="20"/>
        </w:rPr>
      </w:pPr>
      <w:r w:rsidRPr="007944FB">
        <w:rPr>
          <w:rFonts w:ascii="Montserrat" w:hAnsi="Montserrat" w:cs="Calibri"/>
          <w:color w:val="000000"/>
          <w:sz w:val="20"/>
          <w:szCs w:val="20"/>
        </w:rPr>
        <w:t>Ceny transferowe</w:t>
      </w:r>
      <w:r w:rsidRPr="007944FB">
        <w:rPr>
          <w:rStyle w:val="apple-converted-space"/>
          <w:rFonts w:ascii="Montserrat" w:eastAsiaTheme="majorEastAsia" w:hAnsi="Montserrat" w:cs="Calibri"/>
          <w:color w:val="000000"/>
          <w:sz w:val="20"/>
          <w:szCs w:val="20"/>
        </w:rPr>
        <w:t> </w:t>
      </w:r>
    </w:p>
    <w:p w14:paraId="7F1A842C" w14:textId="6DA2CED8" w:rsidR="00DD5848" w:rsidRPr="007944FB" w:rsidRDefault="00DD5848" w:rsidP="00491C39">
      <w:pPr>
        <w:pStyle w:val="v1msolistparagraph"/>
        <w:numPr>
          <w:ilvl w:val="0"/>
          <w:numId w:val="22"/>
        </w:numPr>
        <w:spacing w:before="0" w:beforeAutospacing="0" w:after="0" w:afterAutospacing="0"/>
        <w:rPr>
          <w:rFonts w:ascii="Montserrat" w:hAnsi="Montserrat" w:cs="Calibri"/>
          <w:color w:val="2C363A"/>
          <w:sz w:val="20"/>
          <w:szCs w:val="20"/>
        </w:rPr>
      </w:pPr>
      <w:r w:rsidRPr="007944FB">
        <w:rPr>
          <w:rFonts w:ascii="Montserrat" w:hAnsi="Montserrat" w:cs="Calibri"/>
          <w:color w:val="2C363A"/>
          <w:sz w:val="20"/>
          <w:szCs w:val="20"/>
        </w:rPr>
        <w:t>Analiza czy połączenie i w ramach połączenia przejęcie spółki powiązanej stanowi transakcję kontrolowaną, do której mogą mieć zastosowanie regulacje w zakresie cen transferowych.</w:t>
      </w:r>
    </w:p>
    <w:p w14:paraId="0B520DD9" w14:textId="77777777" w:rsidR="00DD5848" w:rsidRPr="007944FB" w:rsidRDefault="00DD5848" w:rsidP="00DD5848">
      <w:pPr>
        <w:pStyle w:val="v1msolistparagraph"/>
        <w:spacing w:before="0" w:beforeAutospacing="0" w:after="0" w:afterAutospacing="0"/>
        <w:jc w:val="both"/>
        <w:rPr>
          <w:rFonts w:ascii="Montserrat" w:hAnsi="Montserrat" w:cs="Calibri"/>
          <w:color w:val="2C363A"/>
          <w:sz w:val="20"/>
          <w:szCs w:val="20"/>
        </w:rPr>
      </w:pPr>
    </w:p>
    <w:p w14:paraId="46CDCA9A" w14:textId="77777777" w:rsidR="00122226" w:rsidRPr="007944FB" w:rsidRDefault="00122226" w:rsidP="00122226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2B679FAE" w14:textId="35733229" w:rsidR="002D4B2B" w:rsidRPr="00663219" w:rsidRDefault="00390688" w:rsidP="002D4B2B">
      <w:pPr>
        <w:pStyle w:val="Akapitzlist"/>
        <w:numPr>
          <w:ilvl w:val="0"/>
          <w:numId w:val="4"/>
        </w:numPr>
        <w:jc w:val="both"/>
        <w:rPr>
          <w:rFonts w:ascii="Montserrat" w:hAnsi="Montserrat"/>
          <w:b/>
          <w:bCs/>
          <w:sz w:val="20"/>
          <w:szCs w:val="20"/>
        </w:rPr>
      </w:pPr>
      <w:r w:rsidRPr="007944FB">
        <w:rPr>
          <w:rFonts w:ascii="Montserrat" w:hAnsi="Montserrat"/>
          <w:b/>
          <w:bCs/>
          <w:sz w:val="20"/>
          <w:szCs w:val="20"/>
        </w:rPr>
        <w:t>Zagadnienia e</w:t>
      </w:r>
      <w:r w:rsidR="00491C39" w:rsidRPr="007944FB">
        <w:rPr>
          <w:rFonts w:ascii="Montserrat" w:hAnsi="Montserrat"/>
          <w:b/>
          <w:bCs/>
          <w:sz w:val="20"/>
          <w:szCs w:val="20"/>
        </w:rPr>
        <w:t>konomiczne</w:t>
      </w:r>
    </w:p>
    <w:p w14:paraId="33490E18" w14:textId="328D6188" w:rsidR="00390688" w:rsidRPr="007944FB" w:rsidRDefault="007944FB" w:rsidP="007944FB">
      <w:pPr>
        <w:pStyle w:val="Akapitzlist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Ustalenie zakresu i rozmiaru udzielonej Spółkom pomocy publicznej.</w:t>
      </w:r>
    </w:p>
    <w:p w14:paraId="5D4FEC88" w14:textId="21417651" w:rsidR="007944FB" w:rsidRPr="007944FB" w:rsidRDefault="007944FB" w:rsidP="007944FB">
      <w:pPr>
        <w:pStyle w:val="Akapitzlist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Ocena dopuszczalności kumulacji pomocy publicznej z uwzględnieniem Rekompensaty i Dofinansowania.</w:t>
      </w:r>
    </w:p>
    <w:p w14:paraId="21B5A2F7" w14:textId="12FE045D" w:rsidR="007944FB" w:rsidRPr="007944FB" w:rsidRDefault="007944FB" w:rsidP="007944FB">
      <w:pPr>
        <w:pStyle w:val="Akapitzlist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Ustalenie warunków formalnych i merytorycznych uzyskania zgody na zmianę podmiotową Instytucji wdrażających/Komisji Europejskiej, etc.</w:t>
      </w:r>
    </w:p>
    <w:p w14:paraId="598012CD" w14:textId="4E7E404E" w:rsidR="007944FB" w:rsidRPr="007944FB" w:rsidRDefault="007944FB" w:rsidP="007944FB">
      <w:pPr>
        <w:pStyle w:val="Akapitzlist"/>
        <w:numPr>
          <w:ilvl w:val="0"/>
          <w:numId w:val="23"/>
        </w:num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Wydanie rekomendacji co do utrzymania trwałości inwestycji dofinansowanych prowadzonych przez Spółki w świetle zmian projektowanych zmian podmiotowych.</w:t>
      </w:r>
    </w:p>
    <w:p w14:paraId="2CD17DEB" w14:textId="77777777" w:rsidR="007944FB" w:rsidRPr="007944FB" w:rsidRDefault="007944FB" w:rsidP="007944FB">
      <w:pPr>
        <w:jc w:val="both"/>
        <w:rPr>
          <w:rFonts w:ascii="Montserrat" w:hAnsi="Montserrat"/>
          <w:sz w:val="20"/>
          <w:szCs w:val="20"/>
        </w:rPr>
      </w:pPr>
    </w:p>
    <w:p w14:paraId="5B69EA53" w14:textId="77777777" w:rsidR="003B074D" w:rsidRDefault="003B074D" w:rsidP="007944FB">
      <w:pPr>
        <w:jc w:val="both"/>
        <w:rPr>
          <w:rFonts w:ascii="Montserrat" w:hAnsi="Montserrat"/>
          <w:sz w:val="20"/>
          <w:szCs w:val="20"/>
        </w:rPr>
      </w:pPr>
    </w:p>
    <w:p w14:paraId="3DF9BD85" w14:textId="5376C82B" w:rsidR="003B074D" w:rsidRDefault="007944FB" w:rsidP="007944FB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lastRenderedPageBreak/>
        <w:t xml:space="preserve">W Części </w:t>
      </w:r>
      <w:r w:rsidR="003B074D">
        <w:rPr>
          <w:rFonts w:ascii="Montserrat" w:hAnsi="Montserrat"/>
          <w:sz w:val="20"/>
          <w:szCs w:val="20"/>
        </w:rPr>
        <w:t>III</w:t>
      </w:r>
      <w:r w:rsidRPr="007944FB">
        <w:rPr>
          <w:rFonts w:ascii="Montserrat" w:hAnsi="Montserrat"/>
          <w:sz w:val="20"/>
          <w:szCs w:val="20"/>
        </w:rPr>
        <w:t>, w związku z ustaleniami dokonanymi w cz. I – II, wydana zostanie rekomendacja w zakresie preferowanego modelu konsolidacji PCE i ZU z uwzględnieniem szans i zagrożeń płynących z dopuszczalnych prawem rozwiązań. W Części I</w:t>
      </w:r>
      <w:r w:rsidR="003B074D">
        <w:rPr>
          <w:rFonts w:ascii="Montserrat" w:hAnsi="Montserrat"/>
          <w:sz w:val="20"/>
          <w:szCs w:val="20"/>
        </w:rPr>
        <w:t>III</w:t>
      </w:r>
      <w:r w:rsidRPr="007944FB">
        <w:rPr>
          <w:rFonts w:ascii="Montserrat" w:hAnsi="Montserrat"/>
          <w:sz w:val="20"/>
          <w:szCs w:val="20"/>
        </w:rPr>
        <w:t xml:space="preserve"> znajdą się też wskazania co rekomendowanych do podjęcia przez Spółki lub właściciela środków ograniczających ryzyka, tj. wytyczne co do skierowania do organów i instytucji zapytań, wniosków, etc. Ponadto stworzone zostanie zestawienie dat i terminów, które należy uwzględnić przy rekomendowanym modelu konsolidacji.</w:t>
      </w:r>
      <w:r w:rsidR="003B074D">
        <w:rPr>
          <w:rFonts w:ascii="Montserrat" w:hAnsi="Montserrat"/>
          <w:sz w:val="20"/>
          <w:szCs w:val="20"/>
        </w:rPr>
        <w:t xml:space="preserve"> Dodatkowo w Części III należy przeprowadzić holistyczną analizę celowości konsolidacji Spółek – ze szczególnym uwzględnieniem aspektów społecznych i finansowych, a także wpływem na gospodarkę odpadami komunalnymi w Gminie Miasta Gdańska. Należy także wyjaśnić celowość konsolidacji w otoczeniu prawnym (porozumienia międzygminne, umowy in-</w:t>
      </w:r>
      <w:proofErr w:type="spellStart"/>
      <w:r w:rsidR="003B074D">
        <w:rPr>
          <w:rFonts w:ascii="Montserrat" w:hAnsi="Montserrat"/>
          <w:sz w:val="20"/>
          <w:szCs w:val="20"/>
        </w:rPr>
        <w:t>house</w:t>
      </w:r>
      <w:proofErr w:type="spellEnd"/>
      <w:r w:rsidR="003B074D">
        <w:rPr>
          <w:rFonts w:ascii="Montserrat" w:hAnsi="Montserrat"/>
          <w:sz w:val="20"/>
          <w:szCs w:val="20"/>
        </w:rPr>
        <w:t xml:space="preserve"> wiążące spółki, </w:t>
      </w:r>
      <w:proofErr w:type="spellStart"/>
      <w:r w:rsidR="003B074D">
        <w:rPr>
          <w:rFonts w:ascii="Montserrat" w:hAnsi="Montserrat"/>
          <w:sz w:val="20"/>
          <w:szCs w:val="20"/>
        </w:rPr>
        <w:t>itp</w:t>
      </w:r>
      <w:proofErr w:type="spellEnd"/>
      <w:r w:rsidR="003B074D">
        <w:rPr>
          <w:rFonts w:ascii="Montserrat" w:hAnsi="Montserrat"/>
          <w:sz w:val="20"/>
          <w:szCs w:val="20"/>
        </w:rPr>
        <w:t xml:space="preserve">).  </w:t>
      </w:r>
    </w:p>
    <w:p w14:paraId="375E48E9" w14:textId="25B8CF69" w:rsidR="007944FB" w:rsidRPr="007944FB" w:rsidRDefault="007944FB" w:rsidP="007944FB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 </w:t>
      </w:r>
    </w:p>
    <w:p w14:paraId="1584DFD7" w14:textId="6D465629" w:rsidR="00663219" w:rsidRDefault="00663219" w:rsidP="00A37A7F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Zakres objęty Częścią </w:t>
      </w:r>
      <w:r w:rsidR="003B074D">
        <w:rPr>
          <w:rFonts w:ascii="Montserrat" w:hAnsi="Montserrat"/>
          <w:sz w:val="20"/>
          <w:szCs w:val="20"/>
        </w:rPr>
        <w:t>IV</w:t>
      </w:r>
      <w:r>
        <w:rPr>
          <w:rFonts w:ascii="Montserrat" w:hAnsi="Montserrat"/>
          <w:sz w:val="20"/>
          <w:szCs w:val="20"/>
        </w:rPr>
        <w:t xml:space="preserve"> będzie uruchamiany dodatkowymi zleceniami (opcja) – zgodnie z potrzebami i wolą Zamawiającego. </w:t>
      </w:r>
    </w:p>
    <w:p w14:paraId="0CF1D668" w14:textId="77777777" w:rsidR="00663219" w:rsidRDefault="00663219" w:rsidP="00A37A7F">
      <w:pPr>
        <w:jc w:val="both"/>
        <w:rPr>
          <w:rFonts w:ascii="Montserrat" w:hAnsi="Montserrat"/>
          <w:sz w:val="20"/>
          <w:szCs w:val="20"/>
        </w:rPr>
      </w:pPr>
    </w:p>
    <w:p w14:paraId="1000B254" w14:textId="4179230E" w:rsidR="00A37A7F" w:rsidRPr="007944FB" w:rsidRDefault="00A37A7F" w:rsidP="00A37A7F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>Proponowane wynagrodzenie</w:t>
      </w:r>
      <w:r w:rsidR="00BA5061" w:rsidRPr="007944FB">
        <w:rPr>
          <w:rFonts w:ascii="Montserrat" w:hAnsi="Montserrat"/>
          <w:sz w:val="20"/>
          <w:szCs w:val="20"/>
        </w:rPr>
        <w:t xml:space="preserve"> za główny zakres opracowania (części </w:t>
      </w:r>
      <w:r w:rsidR="002D4B2B" w:rsidRPr="007944FB">
        <w:rPr>
          <w:rFonts w:ascii="Montserrat" w:hAnsi="Montserrat"/>
          <w:sz w:val="20"/>
          <w:szCs w:val="20"/>
        </w:rPr>
        <w:t>I</w:t>
      </w:r>
      <w:r w:rsidR="00BA5061" w:rsidRPr="007944FB">
        <w:rPr>
          <w:rFonts w:ascii="Montserrat" w:hAnsi="Montserrat"/>
          <w:sz w:val="20"/>
          <w:szCs w:val="20"/>
        </w:rPr>
        <w:t xml:space="preserve"> – </w:t>
      </w:r>
      <w:r w:rsidR="003B074D">
        <w:rPr>
          <w:rFonts w:ascii="Montserrat" w:hAnsi="Montserrat"/>
          <w:sz w:val="20"/>
          <w:szCs w:val="20"/>
        </w:rPr>
        <w:t>III</w:t>
      </w:r>
      <w:r w:rsidR="00BA5061" w:rsidRPr="007944FB">
        <w:rPr>
          <w:rFonts w:ascii="Montserrat" w:hAnsi="Montserrat"/>
          <w:sz w:val="20"/>
          <w:szCs w:val="20"/>
        </w:rPr>
        <w:t>)</w:t>
      </w:r>
      <w:r w:rsidRPr="007944FB">
        <w:rPr>
          <w:rFonts w:ascii="Montserrat" w:hAnsi="Montserrat"/>
          <w:sz w:val="20"/>
          <w:szCs w:val="20"/>
        </w:rPr>
        <w:t xml:space="preserve">: </w:t>
      </w:r>
      <w:r w:rsidR="003B074D">
        <w:rPr>
          <w:rFonts w:ascii="Montserrat" w:hAnsi="Montserrat"/>
          <w:sz w:val="20"/>
          <w:szCs w:val="20"/>
        </w:rPr>
        <w:t>……………………</w:t>
      </w:r>
      <w:r w:rsidRPr="007944FB">
        <w:rPr>
          <w:rFonts w:ascii="Montserrat" w:hAnsi="Montserrat"/>
          <w:sz w:val="20"/>
          <w:szCs w:val="20"/>
        </w:rPr>
        <w:t xml:space="preserve"> zł netto</w:t>
      </w:r>
    </w:p>
    <w:p w14:paraId="6FF41412" w14:textId="39CE98C7" w:rsidR="00BA5061" w:rsidRPr="007944FB" w:rsidRDefault="00BA5061" w:rsidP="00A37A7F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Proponowane wynagrodzenie w odniesieniu do części </w:t>
      </w:r>
      <w:r w:rsidR="003B074D">
        <w:rPr>
          <w:rFonts w:ascii="Montserrat" w:hAnsi="Montserrat"/>
          <w:sz w:val="20"/>
          <w:szCs w:val="20"/>
        </w:rPr>
        <w:t>I</w:t>
      </w:r>
      <w:r w:rsidR="002D4B2B" w:rsidRPr="007944FB">
        <w:rPr>
          <w:rFonts w:ascii="Montserrat" w:hAnsi="Montserrat"/>
          <w:sz w:val="20"/>
          <w:szCs w:val="20"/>
        </w:rPr>
        <w:t>V</w:t>
      </w:r>
      <w:r w:rsidRPr="007944FB">
        <w:rPr>
          <w:rFonts w:ascii="Montserrat" w:hAnsi="Montserrat"/>
          <w:sz w:val="20"/>
          <w:szCs w:val="20"/>
        </w:rPr>
        <w:t xml:space="preserve">: </w:t>
      </w:r>
      <w:r w:rsidR="003B074D">
        <w:rPr>
          <w:rFonts w:ascii="Montserrat" w:hAnsi="Montserrat"/>
          <w:sz w:val="20"/>
          <w:szCs w:val="20"/>
        </w:rPr>
        <w:t>……</w:t>
      </w:r>
      <w:r w:rsidRPr="007944FB">
        <w:rPr>
          <w:rFonts w:ascii="Montserrat" w:hAnsi="Montserrat"/>
          <w:sz w:val="20"/>
          <w:szCs w:val="20"/>
        </w:rPr>
        <w:t xml:space="preserve"> zł netto/godzina</w:t>
      </w:r>
    </w:p>
    <w:p w14:paraId="74A625E0" w14:textId="4D8F396D" w:rsidR="00A37A7F" w:rsidRPr="007944FB" w:rsidRDefault="00A37A7F" w:rsidP="00A37A7F">
      <w:pPr>
        <w:jc w:val="both"/>
        <w:rPr>
          <w:rFonts w:ascii="Montserrat" w:hAnsi="Montserrat"/>
          <w:sz w:val="20"/>
          <w:szCs w:val="20"/>
        </w:rPr>
      </w:pPr>
      <w:r w:rsidRPr="007944FB">
        <w:rPr>
          <w:rFonts w:ascii="Montserrat" w:hAnsi="Montserrat"/>
          <w:sz w:val="20"/>
          <w:szCs w:val="20"/>
        </w:rPr>
        <w:t xml:space="preserve">Proponowany termin wykonania opracowania: </w:t>
      </w:r>
      <w:r w:rsidR="003B074D">
        <w:rPr>
          <w:rFonts w:ascii="Montserrat" w:hAnsi="Montserrat"/>
          <w:sz w:val="20"/>
          <w:szCs w:val="20"/>
        </w:rPr>
        <w:t>………</w:t>
      </w:r>
      <w:r w:rsidRPr="007944FB">
        <w:rPr>
          <w:rFonts w:ascii="Montserrat" w:hAnsi="Montserrat"/>
          <w:sz w:val="20"/>
          <w:szCs w:val="20"/>
        </w:rPr>
        <w:t xml:space="preserve"> 2024 r. (ostateczny termin sporządzenia opracowania </w:t>
      </w:r>
      <w:r w:rsidR="003B074D">
        <w:rPr>
          <w:rFonts w:ascii="Montserrat" w:hAnsi="Montserrat"/>
          <w:sz w:val="20"/>
          <w:szCs w:val="20"/>
        </w:rPr>
        <w:t xml:space="preserve">nie </w:t>
      </w:r>
      <w:r w:rsidRPr="007944FB">
        <w:rPr>
          <w:rFonts w:ascii="Montserrat" w:hAnsi="Montserrat"/>
          <w:sz w:val="20"/>
          <w:szCs w:val="20"/>
        </w:rPr>
        <w:t xml:space="preserve">będzie </w:t>
      </w:r>
      <w:r w:rsidR="003B074D">
        <w:rPr>
          <w:rFonts w:ascii="Montserrat" w:hAnsi="Montserrat"/>
          <w:sz w:val="20"/>
          <w:szCs w:val="20"/>
        </w:rPr>
        <w:t xml:space="preserve">późniejszy niż </w:t>
      </w:r>
      <w:r w:rsidR="00474156">
        <w:rPr>
          <w:rFonts w:ascii="Montserrat" w:hAnsi="Montserrat"/>
          <w:sz w:val="20"/>
          <w:szCs w:val="20"/>
        </w:rPr>
        <w:t>15</w:t>
      </w:r>
      <w:r w:rsidR="003B074D">
        <w:rPr>
          <w:rFonts w:ascii="Montserrat" w:hAnsi="Montserrat"/>
          <w:sz w:val="20"/>
          <w:szCs w:val="20"/>
        </w:rPr>
        <w:t xml:space="preserve"> </w:t>
      </w:r>
      <w:r w:rsidR="00571C9D">
        <w:rPr>
          <w:rFonts w:ascii="Montserrat" w:hAnsi="Montserrat"/>
          <w:sz w:val="20"/>
          <w:szCs w:val="20"/>
        </w:rPr>
        <w:t>grudnia</w:t>
      </w:r>
      <w:r w:rsidR="003B074D">
        <w:rPr>
          <w:rFonts w:ascii="Montserrat" w:hAnsi="Montserrat"/>
          <w:sz w:val="20"/>
          <w:szCs w:val="20"/>
        </w:rPr>
        <w:t xml:space="preserve"> 2024 r.</w:t>
      </w:r>
      <w:r w:rsidRPr="007944FB">
        <w:rPr>
          <w:rFonts w:ascii="Montserrat" w:hAnsi="Montserrat"/>
          <w:sz w:val="20"/>
          <w:szCs w:val="20"/>
        </w:rPr>
        <w:t>)</w:t>
      </w:r>
    </w:p>
    <w:p w14:paraId="1BC4BB53" w14:textId="77777777" w:rsidR="00A37A7F" w:rsidRPr="007944FB" w:rsidRDefault="00A37A7F">
      <w:pPr>
        <w:rPr>
          <w:rFonts w:ascii="Montserrat" w:hAnsi="Montserrat"/>
          <w:sz w:val="20"/>
          <w:szCs w:val="20"/>
        </w:rPr>
      </w:pPr>
    </w:p>
    <w:p w14:paraId="43318BCB" w14:textId="77777777" w:rsidR="00A37A7F" w:rsidRPr="007944FB" w:rsidRDefault="00A37A7F">
      <w:pPr>
        <w:rPr>
          <w:rFonts w:ascii="Montserrat" w:hAnsi="Montserrat"/>
          <w:sz w:val="20"/>
          <w:szCs w:val="20"/>
        </w:rPr>
      </w:pPr>
    </w:p>
    <w:sectPr w:rsidR="00A37A7F" w:rsidRPr="007944F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9423" w14:textId="77777777" w:rsidR="0046358A" w:rsidRDefault="0046358A" w:rsidP="007944FB">
      <w:r>
        <w:separator/>
      </w:r>
    </w:p>
  </w:endnote>
  <w:endnote w:type="continuationSeparator" w:id="0">
    <w:p w14:paraId="74236AC2" w14:textId="77777777" w:rsidR="0046358A" w:rsidRDefault="0046358A" w:rsidP="0079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229402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A082C7" w14:textId="40DD6CB3" w:rsidR="007944FB" w:rsidRDefault="007944FB" w:rsidP="00823AF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D5BC2B" w14:textId="77777777" w:rsidR="007944FB" w:rsidRDefault="007944FB" w:rsidP="007944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69824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F39563" w14:textId="315CA10E" w:rsidR="007944FB" w:rsidRDefault="007944FB" w:rsidP="00823AF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E808823" w14:textId="77777777" w:rsidR="007944FB" w:rsidRDefault="007944FB" w:rsidP="007944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0AA1" w14:textId="77777777" w:rsidR="0046358A" w:rsidRDefault="0046358A" w:rsidP="007944FB">
      <w:r>
        <w:separator/>
      </w:r>
    </w:p>
  </w:footnote>
  <w:footnote w:type="continuationSeparator" w:id="0">
    <w:p w14:paraId="4B540BDB" w14:textId="77777777" w:rsidR="0046358A" w:rsidRDefault="0046358A" w:rsidP="0079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0BA"/>
    <w:multiLevelType w:val="hybridMultilevel"/>
    <w:tmpl w:val="0AB06D0E"/>
    <w:lvl w:ilvl="0" w:tplc="239EE134">
      <w:start w:val="1"/>
      <w:numFmt w:val="upperRoman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9A9"/>
    <w:multiLevelType w:val="multilevel"/>
    <w:tmpl w:val="AED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71E60"/>
    <w:multiLevelType w:val="hybridMultilevel"/>
    <w:tmpl w:val="5EC4F972"/>
    <w:lvl w:ilvl="0" w:tplc="3B440D08">
      <w:start w:val="1"/>
      <w:numFmt w:val="lowerLetter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74A7A"/>
    <w:multiLevelType w:val="multilevel"/>
    <w:tmpl w:val="CCE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06F65"/>
    <w:multiLevelType w:val="multilevel"/>
    <w:tmpl w:val="922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4154D"/>
    <w:multiLevelType w:val="multilevel"/>
    <w:tmpl w:val="C1E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A57923"/>
    <w:multiLevelType w:val="hybridMultilevel"/>
    <w:tmpl w:val="37DC6B00"/>
    <w:lvl w:ilvl="0" w:tplc="5B6C9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5EAB"/>
    <w:multiLevelType w:val="multilevel"/>
    <w:tmpl w:val="0830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CF298A"/>
    <w:multiLevelType w:val="multilevel"/>
    <w:tmpl w:val="68EA5DE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E689D"/>
    <w:multiLevelType w:val="multilevel"/>
    <w:tmpl w:val="35C0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D5001"/>
    <w:multiLevelType w:val="hybridMultilevel"/>
    <w:tmpl w:val="8F16B564"/>
    <w:lvl w:ilvl="0" w:tplc="2D883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D10D8"/>
    <w:multiLevelType w:val="hybridMultilevel"/>
    <w:tmpl w:val="9D08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746"/>
    <w:multiLevelType w:val="hybridMultilevel"/>
    <w:tmpl w:val="2D44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4EDB"/>
    <w:multiLevelType w:val="multilevel"/>
    <w:tmpl w:val="CC1A9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7696A"/>
    <w:multiLevelType w:val="multilevel"/>
    <w:tmpl w:val="BE7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65596F"/>
    <w:multiLevelType w:val="hybridMultilevel"/>
    <w:tmpl w:val="AAFC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303FB"/>
    <w:multiLevelType w:val="hybridMultilevel"/>
    <w:tmpl w:val="5A12D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71DC"/>
    <w:multiLevelType w:val="hybridMultilevel"/>
    <w:tmpl w:val="D98E9E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66B0B"/>
    <w:multiLevelType w:val="multilevel"/>
    <w:tmpl w:val="9CA2A23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4C21E3"/>
    <w:multiLevelType w:val="hybridMultilevel"/>
    <w:tmpl w:val="60A6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B19DD"/>
    <w:multiLevelType w:val="hybridMultilevel"/>
    <w:tmpl w:val="865CF1A6"/>
    <w:lvl w:ilvl="0" w:tplc="E852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155E9"/>
    <w:multiLevelType w:val="multilevel"/>
    <w:tmpl w:val="3C8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666633"/>
    <w:multiLevelType w:val="multilevel"/>
    <w:tmpl w:val="E37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1474395">
    <w:abstractNumId w:val="0"/>
  </w:num>
  <w:num w:numId="2" w16cid:durableId="1591281107">
    <w:abstractNumId w:val="12"/>
  </w:num>
  <w:num w:numId="3" w16cid:durableId="236939365">
    <w:abstractNumId w:val="19"/>
  </w:num>
  <w:num w:numId="4" w16cid:durableId="202182015">
    <w:abstractNumId w:val="20"/>
  </w:num>
  <w:num w:numId="5" w16cid:durableId="356539379">
    <w:abstractNumId w:val="11"/>
  </w:num>
  <w:num w:numId="6" w16cid:durableId="830874199">
    <w:abstractNumId w:val="10"/>
  </w:num>
  <w:num w:numId="7" w16cid:durableId="242420970">
    <w:abstractNumId w:val="6"/>
  </w:num>
  <w:num w:numId="8" w16cid:durableId="986395488">
    <w:abstractNumId w:val="9"/>
  </w:num>
  <w:num w:numId="9" w16cid:durableId="1408263974">
    <w:abstractNumId w:val="13"/>
  </w:num>
  <w:num w:numId="10" w16cid:durableId="628512856">
    <w:abstractNumId w:val="21"/>
  </w:num>
  <w:num w:numId="11" w16cid:durableId="812790732">
    <w:abstractNumId w:val="18"/>
  </w:num>
  <w:num w:numId="12" w16cid:durableId="679164357">
    <w:abstractNumId w:val="14"/>
  </w:num>
  <w:num w:numId="13" w16cid:durableId="1345088215">
    <w:abstractNumId w:val="1"/>
  </w:num>
  <w:num w:numId="14" w16cid:durableId="1653217575">
    <w:abstractNumId w:val="5"/>
  </w:num>
  <w:num w:numId="15" w16cid:durableId="1025205898">
    <w:abstractNumId w:val="4"/>
  </w:num>
  <w:num w:numId="16" w16cid:durableId="2114351949">
    <w:abstractNumId w:val="7"/>
  </w:num>
  <w:num w:numId="17" w16cid:durableId="281114504">
    <w:abstractNumId w:val="8"/>
  </w:num>
  <w:num w:numId="18" w16cid:durableId="292447071">
    <w:abstractNumId w:val="22"/>
  </w:num>
  <w:num w:numId="19" w16cid:durableId="1885218039">
    <w:abstractNumId w:val="3"/>
  </w:num>
  <w:num w:numId="20" w16cid:durableId="1234897107">
    <w:abstractNumId w:val="16"/>
  </w:num>
  <w:num w:numId="21" w16cid:durableId="637686993">
    <w:abstractNumId w:val="2"/>
  </w:num>
  <w:num w:numId="22" w16cid:durableId="1868449375">
    <w:abstractNumId w:val="17"/>
  </w:num>
  <w:num w:numId="23" w16cid:durableId="1172644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F"/>
    <w:rsid w:val="000E42BB"/>
    <w:rsid w:val="00122226"/>
    <w:rsid w:val="001E261E"/>
    <w:rsid w:val="00291AA7"/>
    <w:rsid w:val="002B6D9D"/>
    <w:rsid w:val="002D4B2B"/>
    <w:rsid w:val="00390688"/>
    <w:rsid w:val="003B074D"/>
    <w:rsid w:val="0046358A"/>
    <w:rsid w:val="00474156"/>
    <w:rsid w:val="00491C39"/>
    <w:rsid w:val="00571C9D"/>
    <w:rsid w:val="00663219"/>
    <w:rsid w:val="0066567C"/>
    <w:rsid w:val="006C1A7D"/>
    <w:rsid w:val="006D6369"/>
    <w:rsid w:val="007944FB"/>
    <w:rsid w:val="007A74F0"/>
    <w:rsid w:val="00994CFE"/>
    <w:rsid w:val="00A37A7F"/>
    <w:rsid w:val="00A739BF"/>
    <w:rsid w:val="00BA5061"/>
    <w:rsid w:val="00BA7F20"/>
    <w:rsid w:val="00C93617"/>
    <w:rsid w:val="00DD5848"/>
    <w:rsid w:val="00E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69DF"/>
  <w15:chartTrackingRefBased/>
  <w15:docId w15:val="{303CF027-693F-C54D-A3AF-5E92FAB6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A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A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A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A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A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A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A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A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A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A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A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A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A7F"/>
    <w:rPr>
      <w:b/>
      <w:bCs/>
      <w:smallCaps/>
      <w:color w:val="0F4761" w:themeColor="accent1" w:themeShade="BF"/>
      <w:spacing w:val="5"/>
    </w:rPr>
  </w:style>
  <w:style w:type="paragraph" w:customStyle="1" w:styleId="v1msolistparagraph">
    <w:name w:val="v1msolistparagraph"/>
    <w:basedOn w:val="Normalny"/>
    <w:rsid w:val="001222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DD5848"/>
  </w:style>
  <w:style w:type="paragraph" w:styleId="Stopka">
    <w:name w:val="footer"/>
    <w:basedOn w:val="Normalny"/>
    <w:link w:val="StopkaZnak"/>
    <w:uiPriority w:val="99"/>
    <w:unhideWhenUsed/>
    <w:rsid w:val="00794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4FB"/>
  </w:style>
  <w:style w:type="character" w:styleId="Numerstrony">
    <w:name w:val="page number"/>
    <w:basedOn w:val="Domylnaczcionkaakapitu"/>
    <w:uiPriority w:val="99"/>
    <w:semiHidden/>
    <w:unhideWhenUsed/>
    <w:rsid w:val="007944FB"/>
  </w:style>
  <w:style w:type="table" w:styleId="Tabela-Siatka">
    <w:name w:val="Table Grid"/>
    <w:basedOn w:val="Standardowy"/>
    <w:uiPriority w:val="39"/>
    <w:rsid w:val="003B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Pachulska-Wandzilak</dc:creator>
  <cp:keywords/>
  <dc:description/>
  <cp:lastModifiedBy>Lidia Krzyczyńska</cp:lastModifiedBy>
  <cp:revision>3</cp:revision>
  <dcterms:created xsi:type="dcterms:W3CDTF">2024-11-04T11:58:00Z</dcterms:created>
  <dcterms:modified xsi:type="dcterms:W3CDTF">2024-11-06T12:56:00Z</dcterms:modified>
</cp:coreProperties>
</file>