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80" w:rsidRDefault="00271B72">
      <w:pPr>
        <w:pStyle w:val="Nagwek3"/>
        <w:tabs>
          <w:tab w:val="left" w:pos="1080"/>
        </w:tabs>
        <w:jc w:val="left"/>
        <w:rPr>
          <w:b w:val="0"/>
          <w:szCs w:val="22"/>
        </w:rPr>
      </w:pPr>
      <w:bookmarkStart w:id="0" w:name="_GoBack"/>
      <w:bookmarkEnd w:id="0"/>
      <w:r>
        <w:rPr>
          <w:b w:val="0"/>
          <w:szCs w:val="22"/>
        </w:rPr>
        <w:t>Załącznik nr 1</w:t>
      </w:r>
    </w:p>
    <w:p w:rsidR="004F3080" w:rsidRDefault="004F3080">
      <w:pPr>
        <w:pStyle w:val="Nagwek3"/>
        <w:tabs>
          <w:tab w:val="left" w:pos="1080"/>
        </w:tabs>
        <w:rPr>
          <w:b w:val="0"/>
          <w:szCs w:val="22"/>
        </w:rPr>
      </w:pPr>
    </w:p>
    <w:p w:rsidR="004F3080" w:rsidRDefault="00271B72">
      <w:pPr>
        <w:pStyle w:val="Nagwek3"/>
        <w:tabs>
          <w:tab w:val="left" w:pos="1080"/>
        </w:tabs>
      </w:pPr>
      <w:r>
        <w:rPr>
          <w:b w:val="0"/>
          <w:szCs w:val="22"/>
        </w:rPr>
        <w:t xml:space="preserve">OPIS  PRZEDMIOTU ZAMÓWIENIA </w:t>
      </w:r>
    </w:p>
    <w:p w:rsidR="004F3080" w:rsidRDefault="004F3080">
      <w:pPr>
        <w:rPr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"/>
        <w:gridCol w:w="5150"/>
        <w:gridCol w:w="908"/>
        <w:gridCol w:w="1721"/>
        <w:gridCol w:w="1047"/>
      </w:tblGrid>
      <w:tr w:rsidR="004F3080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Opis  przedmiotu zamówienia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cstheme="majorBidi"/>
                <w:b/>
                <w:sz w:val="20"/>
                <w:szCs w:val="20"/>
              </w:rPr>
              <w:t>Parametry wymagane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cstheme="majorBidi"/>
                <w:b/>
                <w:bCs/>
                <w:sz w:val="20"/>
                <w:szCs w:val="20"/>
              </w:rPr>
              <w:t>Parametry oceniane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271B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cstheme="majorBidi"/>
                <w:b/>
                <w:sz w:val="20"/>
                <w:szCs w:val="20"/>
              </w:rPr>
              <w:t>Parametry oferowane/ TAK/NIE/PODAĆ</w:t>
            </w: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Platforma monitorująca(stacjonarno- transportowa) ze stacją dokującą dla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stacjonarno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– transportowego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pulsoksymetru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z kolorowym, dotykowym panelem przednim i automatyczną rotacją ekranu pion-poziom</w:t>
            </w:r>
            <w:r>
              <w:rPr>
                <w:rFonts w:cstheme="minorHAnsi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ar-SA"/>
              </w:rPr>
              <w:t xml:space="preserve">Platforma wyposażona w </w:t>
            </w:r>
            <w:r>
              <w:rPr>
                <w:rFonts w:cstheme="minorHAnsi"/>
                <w:sz w:val="20"/>
                <w:szCs w:val="20"/>
              </w:rPr>
              <w:t>filtry adaptacyjne eliminujące sygnały z krwi żylnej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ar-SA"/>
              </w:rPr>
              <w:t>Platforma</w:t>
            </w:r>
            <w:r>
              <w:rPr>
                <w:rFonts w:cstheme="minorHAnsi"/>
                <w:bCs/>
                <w:sz w:val="20"/>
                <w:szCs w:val="20"/>
              </w:rPr>
              <w:t xml:space="preserve"> z własnym zasilaniem akumulatorowym</w:t>
            </w:r>
            <w:r>
              <w:rPr>
                <w:rFonts w:cstheme="minorHAnsi"/>
                <w:bCs/>
                <w:sz w:val="20"/>
                <w:szCs w:val="20"/>
              </w:rPr>
              <w:t xml:space="preserve"> na nie mniej niż 4h pracy. Wszystkie parametry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pulsoksymetryczne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widoczne na platformie po dokowaniu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pulsoksymetru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Możliwość rozbudowy platformy o moduł oksymetrii regionalnej umożliwiającej monitorowanie w jednym czasie na czole pacjenta EEG i N</w:t>
            </w:r>
            <w:r>
              <w:rPr>
                <w:rFonts w:cstheme="minorHAnsi"/>
                <w:bCs/>
                <w:sz w:val="20"/>
                <w:szCs w:val="20"/>
              </w:rPr>
              <w:t>IRS obu półkul mózgu.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Możliwość rozbudowy platformy o moduł hemodynamiczny.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Możliwość rozbudowy platformy  o moduł monitorujący aktywność AUN.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Możliwość bezprzewodowego monitorowania temperatury oraz pozycjonowania pacjenta.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Prezentacja danych: Spo2, częstość pulsu, krzywa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pletyzmograficzna</w:t>
            </w:r>
            <w:proofErr w:type="spellEnd"/>
            <w:r>
              <w:rPr>
                <w:rFonts w:cstheme="minorHAnsi"/>
                <w:sz w:val="20"/>
                <w:szCs w:val="20"/>
              </w:rPr>
              <w:t>, indeks perfuzji,  komunikaty alarmowe, trendy, czułość, jakość sygnału oraz parametrów EEG.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Granice alarmów stale widoczne na ekranie.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Bezprzewodowe monitorowanie </w:t>
            </w:r>
            <w:r>
              <w:rPr>
                <w:rFonts w:cstheme="minorHAnsi"/>
                <w:sz w:val="20"/>
                <w:szCs w:val="20"/>
              </w:rPr>
              <w:t>saturacji, pulsu i PI.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Technologia umożliwiająca pomiar saturacji i tętna u pacjentów o niskiej perfuzji co najmniej od 0,02 %; 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 (index perfuzji) wyświetlany w formie liczbowej – parametr pozwalający na dodatkową ocenę stanu pacjenta i </w:t>
            </w:r>
            <w:r>
              <w:rPr>
                <w:rFonts w:cstheme="minorHAnsi"/>
                <w:sz w:val="20"/>
                <w:szCs w:val="20"/>
              </w:rPr>
              <w:t>miejsca pomiaru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Minimum 3 zakresy czułości pomiaru: MAX – dla pacjentów z krytycznymi parametrami, zimnymi lub obrzękniętymi kończynami; NORMALNA – pacjenci stabilni; mniej czuła – pacjenci rzadziej monitorowani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 zakresy - 20 pkt.</w:t>
            </w:r>
          </w:p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2 zakresy –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10 pkt.</w:t>
            </w:r>
          </w:p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 zakres – 0 pkt.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Tryby uśredniania pomiarów: co 2 lub 4sek (pacjenci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resuscytowani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krytyczne parametry), co 8 lub 10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(pacjenci stabilni), co 12 lub 14 lub 16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(pacjenci rzadziej monitorowani)</w:t>
            </w:r>
          </w:p>
          <w:p w:rsidR="004F3080" w:rsidRDefault="004F3080">
            <w:pPr>
              <w:widowControl w:val="0"/>
              <w:rPr>
                <w:rFonts w:cstheme="minorHAnsi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 2 sek. -  20 pkt</w:t>
            </w:r>
          </w:p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Powyżej 2 do 4 sek.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-10 pkt.</w:t>
            </w:r>
          </w:p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Powyżej 4 do 8 sek. i więcej  - 0 pkt.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ind w:left="510" w:right="227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Moduł do pomiaru funkcji mózgu 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Algorytm PSI (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Patient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State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Indeks), pomiar ciągły w postaci numerycznej i trendów. 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Monitorowanie odpowiedzi na poziom znieczulenia z jednego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czujnika dla obu półkul osobno w postaci numerycznej (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) i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trendy.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Obraz DSA (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dentysometrii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spektralnej) aktywności obu półkul osobno, z możliwością obserwacji ich asymetrii.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Supresja mózgowa (SR) oraz Artefakty przedstawione numerycznie </w:t>
            </w:r>
            <w:r>
              <w:rPr>
                <w:rFonts w:cstheme="minorHAnsi"/>
                <w:color w:val="000000"/>
                <w:sz w:val="20"/>
                <w:szCs w:val="20"/>
              </w:rPr>
              <w:t>%, na obrazie spektralnym oraz trendy.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Aktywność nerwowo mięśniowa EMG przedstawiona numerycznie oraz trendy.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Możliwość wprowadzania znaczników zdarzeń.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Wózek do zamocowania platformy. Umożliwia natychmiastowy (bez jakichkolwiek </w:t>
            </w:r>
            <w:r>
              <w:rPr>
                <w:rFonts w:cstheme="minorHAnsi"/>
                <w:color w:val="000000"/>
                <w:sz w:val="20"/>
                <w:szCs w:val="20"/>
              </w:rPr>
              <w:t>narzędzi) montaż i demontaż platformy.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</w:pPr>
            <w:r>
              <w:rPr>
                <w:rFonts w:cstheme="minorHAnsi"/>
                <w:sz w:val="20"/>
                <w:szCs w:val="20"/>
              </w:rPr>
              <w:t xml:space="preserve">12-miesięczna licencja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Lidco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 monitorowania hemodynamicznego na nielimitowaną eksploatację.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Czujnik SpO2 wielorazowy RD gumowy na palec dla pacjenta &gt; 30 kg – 1 szt.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Czujniki do pomiaru </w:t>
            </w:r>
            <w:r>
              <w:rPr>
                <w:rFonts w:cstheme="minorHAnsi"/>
                <w:color w:val="000000"/>
                <w:sz w:val="20"/>
                <w:szCs w:val="20"/>
              </w:rPr>
              <w:t>funkcji mózgu dla pacjentów dorosłych posiadający 4 aktywne kanały (2 czołowe, 2 skroniowe) – 25 szt.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szt. bezprzewodowych czujników SpO2 dla pacjentów &gt; 30 kg, wraz z dedykowany kablem pacjenta z modułem bezprzewodowym oraz chipem służący do pa</w:t>
            </w:r>
            <w:r>
              <w:rPr>
                <w:rFonts w:cstheme="minorHAnsi"/>
                <w:sz w:val="20"/>
                <w:szCs w:val="20"/>
              </w:rPr>
              <w:t>rowania czujnika z urządzeniem.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oraz wszystkie elementy składowe - fabrycznie nowe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napToGrid w:val="0"/>
              <w:ind w:left="283" w:right="34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Oferowane towary</w:t>
            </w:r>
            <w:r>
              <w:rPr>
                <w:sz w:val="20"/>
                <w:szCs w:val="20"/>
              </w:rPr>
              <w:t xml:space="preserve"> muszą być dopuszczone do obrotu</w:t>
            </w:r>
          </w:p>
          <w:p w:rsidR="004F3080" w:rsidRDefault="00271B72">
            <w:pPr>
              <w:widowControl w:val="0"/>
              <w:snapToGrid w:val="0"/>
              <w:ind w:left="283" w:right="34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terytorium Rzeczpospolitej Polskiej zgodnie z</w:t>
            </w:r>
          </w:p>
          <w:p w:rsidR="004F3080" w:rsidRDefault="00271B72">
            <w:pPr>
              <w:widowControl w:val="0"/>
              <w:snapToGrid w:val="0"/>
              <w:ind w:left="283" w:right="34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prawem, a w szczególności z przepisami o </w:t>
            </w:r>
            <w:r>
              <w:rPr>
                <w:sz w:val="20"/>
                <w:szCs w:val="20"/>
              </w:rPr>
              <w:t>wyrobach</w:t>
            </w:r>
          </w:p>
          <w:p w:rsidR="004F3080" w:rsidRDefault="00271B72">
            <w:pPr>
              <w:widowControl w:val="0"/>
              <w:snapToGrid w:val="0"/>
              <w:ind w:left="283" w:right="34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medycznych.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ind w:left="56" w:righ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i/lub certyfikat CE na produkt zgodne z aktualnie obowiązującym prawem (w</w:t>
            </w:r>
          </w:p>
          <w:p w:rsidR="004F3080" w:rsidRDefault="00271B72">
            <w:pPr>
              <w:widowControl w:val="0"/>
              <w:ind w:left="283" w:righ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 dyrektywy UE) w j. polskim – należy dołączyć do</w:t>
            </w:r>
          </w:p>
          <w:p w:rsidR="004F3080" w:rsidRDefault="00271B72">
            <w:pPr>
              <w:widowControl w:val="0"/>
              <w:ind w:left="283" w:righ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oferty. Dokumenty sporządzone w języku</w:t>
            </w:r>
          </w:p>
          <w:p w:rsidR="004F3080" w:rsidRDefault="00271B72">
            <w:pPr>
              <w:widowControl w:val="0"/>
              <w:ind w:left="283" w:righ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obcym są obowiązkowo składane wraz z </w:t>
            </w:r>
            <w:r>
              <w:rPr>
                <w:sz w:val="20"/>
                <w:szCs w:val="20"/>
              </w:rPr>
              <w:t>tłumaczeniem na</w:t>
            </w:r>
          </w:p>
          <w:p w:rsidR="004F3080" w:rsidRDefault="00271B72">
            <w:pPr>
              <w:widowControl w:val="0"/>
              <w:ind w:left="283" w:righ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</w:pPr>
            <w:r>
              <w:rPr>
                <w:rStyle w:val="Teksttreci"/>
                <w:rFonts w:ascii="Times New Roman" w:hAnsi="Times New Roman"/>
                <w:sz w:val="20"/>
                <w:szCs w:val="20"/>
              </w:rPr>
              <w:t>Serwis gwarancyjny urządzeń musi być realizowany przez producenta lub autoryzowanego partnera serwisowego prod</w:t>
            </w:r>
            <w:r>
              <w:rPr>
                <w:rStyle w:val="Teksttreci"/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centa w czasie okresu gwarancji - wymagane dołączenie do oferty oświadczenia podmiotu realizującego serwis </w:t>
            </w:r>
            <w:r>
              <w:rPr>
                <w:rStyle w:val="Teksttreci"/>
                <w:rFonts w:ascii="Times New Roman" w:hAnsi="Times New Roman"/>
                <w:sz w:val="20"/>
                <w:szCs w:val="20"/>
              </w:rPr>
              <w:t>lub pr</w:t>
            </w:r>
            <w:r>
              <w:rPr>
                <w:rStyle w:val="Teksttreci"/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Style w:val="Teksttreci"/>
                <w:rFonts w:ascii="Times New Roman" w:hAnsi="Times New Roman"/>
                <w:sz w:val="20"/>
                <w:szCs w:val="20"/>
              </w:rPr>
              <w:t>ducenta sprzętu o spełnieniu tego warunku.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Producent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Podać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Model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Podać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F3080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numPr>
                <w:ilvl w:val="0"/>
                <w:numId w:val="1"/>
              </w:numPr>
              <w:ind w:left="510" w:right="227" w:hanging="510"/>
              <w:rPr>
                <w:color w:val="000000"/>
                <w:sz w:val="20"/>
                <w:szCs w:val="20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Rok produkcji min. 2024 (produkt</w:t>
            </w:r>
            <w:r>
              <w:rPr>
                <w:rFonts w:cstheme="majorBidi"/>
                <w:bCs/>
                <w:sz w:val="20"/>
                <w:szCs w:val="20"/>
              </w:rPr>
              <w:t xml:space="preserve"> fabrycznie nowy, </w:t>
            </w:r>
            <w:proofErr w:type="spellStart"/>
            <w:r>
              <w:rPr>
                <w:rFonts w:cstheme="majorBidi"/>
                <w:bCs/>
                <w:sz w:val="20"/>
                <w:szCs w:val="20"/>
              </w:rPr>
              <w:t>nierekondycjonowany</w:t>
            </w:r>
            <w:proofErr w:type="spellEnd"/>
            <w:r>
              <w:rPr>
                <w:rFonts w:cstheme="majorBidi"/>
                <w:bCs/>
                <w:sz w:val="20"/>
                <w:szCs w:val="20"/>
              </w:rPr>
              <w:t>, nie powystawowy)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271B72">
            <w:pPr>
              <w:widowControl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Podać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0" w:rsidRDefault="004F308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:rsidR="004F3080" w:rsidRDefault="004F3080"/>
    <w:sectPr w:rsidR="004F3080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1E2"/>
    <w:multiLevelType w:val="multilevel"/>
    <w:tmpl w:val="675C9C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A12895"/>
    <w:multiLevelType w:val="multilevel"/>
    <w:tmpl w:val="3B7C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4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80"/>
    <w:rsid w:val="00271B72"/>
    <w:rsid w:val="004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21"/>
    <w:rPr>
      <w:color w:val="00000A"/>
      <w:sz w:val="24"/>
      <w:szCs w:val="24"/>
    </w:rPr>
  </w:style>
  <w:style w:type="paragraph" w:styleId="Nagwek2">
    <w:name w:val="heading 2"/>
    <w:basedOn w:val="Normalny"/>
    <w:qFormat/>
    <w:rsid w:val="009013DB"/>
    <w:pPr>
      <w:keepNext/>
      <w:outlineLvl w:val="1"/>
    </w:pPr>
    <w:rPr>
      <w:szCs w:val="20"/>
    </w:rPr>
  </w:style>
  <w:style w:type="paragraph" w:styleId="Nagwek3">
    <w:name w:val="heading 3"/>
    <w:basedOn w:val="Normalny"/>
    <w:qFormat/>
    <w:rsid w:val="00127EAB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5B50"/>
    <w:pPr>
      <w:jc w:val="both"/>
    </w:pPr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4752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21"/>
    <w:rPr>
      <w:color w:val="00000A"/>
      <w:sz w:val="24"/>
      <w:szCs w:val="24"/>
    </w:rPr>
  </w:style>
  <w:style w:type="paragraph" w:styleId="Nagwek2">
    <w:name w:val="heading 2"/>
    <w:basedOn w:val="Normalny"/>
    <w:qFormat/>
    <w:rsid w:val="009013DB"/>
    <w:pPr>
      <w:keepNext/>
      <w:outlineLvl w:val="1"/>
    </w:pPr>
    <w:rPr>
      <w:szCs w:val="20"/>
    </w:rPr>
  </w:style>
  <w:style w:type="paragraph" w:styleId="Nagwek3">
    <w:name w:val="heading 3"/>
    <w:basedOn w:val="Normalny"/>
    <w:qFormat/>
    <w:rsid w:val="00127EAB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5B50"/>
    <w:pPr>
      <w:jc w:val="both"/>
    </w:pPr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4752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Oferty</vt:lpstr>
    </vt:vector>
  </TitlesOfParts>
  <Company>spcsk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Oferty</dc:title>
  <dc:creator>spcsk</dc:creator>
  <cp:lastModifiedBy>Ewelina Strąk</cp:lastModifiedBy>
  <cp:revision>2</cp:revision>
  <cp:lastPrinted>2024-04-15T13:29:00Z</cp:lastPrinted>
  <dcterms:created xsi:type="dcterms:W3CDTF">2024-11-25T10:21:00Z</dcterms:created>
  <dcterms:modified xsi:type="dcterms:W3CDTF">2024-11-25T10:21:00Z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