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26C" w:rsidRPr="0005626C" w:rsidRDefault="00056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626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05626C" w:rsidRPr="0005626C" w:rsidRDefault="0005626C">
      <w:pPr>
        <w:rPr>
          <w:rFonts w:ascii="Times New Roman" w:hAnsi="Times New Roman" w:cs="Times New Roman"/>
          <w:sz w:val="24"/>
          <w:szCs w:val="24"/>
        </w:rPr>
      </w:pPr>
    </w:p>
    <w:p w:rsidR="0005626C" w:rsidRPr="004F2DCC" w:rsidRDefault="0005626C" w:rsidP="006246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5626C">
        <w:rPr>
          <w:rFonts w:ascii="Times New Roman" w:hAnsi="Times New Roman" w:cs="Times New Roman"/>
          <w:sz w:val="24"/>
          <w:szCs w:val="24"/>
        </w:rPr>
        <w:t xml:space="preserve">Wymiana stolarki okiennej w budynku Domu Przedpogrzebowego przy ul. Sportowej 23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626C">
        <w:rPr>
          <w:rFonts w:ascii="Times New Roman" w:hAnsi="Times New Roman" w:cs="Times New Roman"/>
          <w:sz w:val="24"/>
          <w:szCs w:val="24"/>
        </w:rPr>
        <w:t>w Kostrzynie nad Odrą</w:t>
      </w:r>
    </w:p>
    <w:p w:rsidR="0005626C" w:rsidRDefault="0005626C" w:rsidP="00624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obejmuje:</w:t>
      </w:r>
    </w:p>
    <w:p w:rsidR="0005626C" w:rsidRPr="0005626C" w:rsidRDefault="0005626C" w:rsidP="006246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26C">
        <w:rPr>
          <w:rFonts w:ascii="Times New Roman" w:hAnsi="Times New Roman" w:cs="Times New Roman"/>
          <w:sz w:val="24"/>
          <w:szCs w:val="24"/>
        </w:rPr>
        <w:t>demontaż istniejącego wypełnienia (luxferów) ich wóz i utylizację,</w:t>
      </w:r>
    </w:p>
    <w:p w:rsidR="0005626C" w:rsidRDefault="0005626C" w:rsidP="006246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stolarki okiennej</w:t>
      </w:r>
      <w:r w:rsidRPr="0005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liczbie </w:t>
      </w:r>
      <w:r w:rsidR="00A615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A615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okna typu 1, jedno okno typu 2, jedno okno typu 3.</w:t>
      </w:r>
    </w:p>
    <w:p w:rsidR="001379FA" w:rsidRPr="0005626C" w:rsidRDefault="001379FA" w:rsidP="006246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obróbka okien </w:t>
      </w:r>
      <w:r w:rsidRPr="00CA24C2">
        <w:rPr>
          <w:rFonts w:ascii="Times New Roman" w:hAnsi="Times New Roman" w:cs="Times New Roman"/>
          <w:sz w:val="24"/>
          <w:szCs w:val="24"/>
        </w:rPr>
        <w:t>po m</w:t>
      </w:r>
      <w:r w:rsidRPr="0005626C">
        <w:rPr>
          <w:rFonts w:ascii="Times New Roman" w:hAnsi="Times New Roman" w:cs="Times New Roman"/>
          <w:sz w:val="24"/>
          <w:szCs w:val="24"/>
        </w:rPr>
        <w:t>ontażu</w:t>
      </w:r>
    </w:p>
    <w:p w:rsidR="0005626C" w:rsidRDefault="0005626C" w:rsidP="00624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26C" w:rsidRPr="00CA24C2" w:rsidRDefault="0005626C" w:rsidP="006246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24C2">
        <w:rPr>
          <w:rFonts w:ascii="Times New Roman" w:hAnsi="Times New Roman" w:cs="Times New Roman"/>
          <w:b/>
          <w:bCs/>
          <w:sz w:val="24"/>
          <w:szCs w:val="24"/>
        </w:rPr>
        <w:t>Rysunki okien</w:t>
      </w:r>
    </w:p>
    <w:p w:rsidR="0005626C" w:rsidRDefault="0005626C" w:rsidP="0062469F">
      <w:pPr>
        <w:spacing w:line="360" w:lineRule="auto"/>
      </w:pPr>
    </w:p>
    <w:p w:rsidR="008A6C26" w:rsidRDefault="008A6C26" w:rsidP="0062469F">
      <w:pPr>
        <w:spacing w:line="360" w:lineRule="auto"/>
      </w:pPr>
      <w:r>
        <w:rPr>
          <w:noProof/>
        </w:rPr>
        <w:drawing>
          <wp:inline distT="0" distB="0" distL="0" distR="0" wp14:anchorId="48BE5FF2" wp14:editId="4A73AF10">
            <wp:extent cx="1800225" cy="18002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08FE1A" wp14:editId="7108E2BD">
            <wp:extent cx="1800225" cy="1800225"/>
            <wp:effectExtent l="0" t="0" r="9525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CD07E" wp14:editId="2E1772F4">
            <wp:extent cx="1800225" cy="1800225"/>
            <wp:effectExtent l="0" t="0" r="9525" b="9525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6C" w:rsidRDefault="0005626C" w:rsidP="0062469F">
      <w:pPr>
        <w:spacing w:line="360" w:lineRule="auto"/>
      </w:pPr>
    </w:p>
    <w:p w:rsidR="008A6C26" w:rsidRDefault="008A6C26" w:rsidP="0062469F">
      <w:pPr>
        <w:spacing w:line="360" w:lineRule="auto"/>
      </w:pPr>
      <w:r>
        <w:t>okno typu 1</w:t>
      </w:r>
      <w:r>
        <w:tab/>
      </w:r>
      <w:r>
        <w:tab/>
      </w:r>
      <w:r>
        <w:tab/>
        <w:t>okno typu 2</w:t>
      </w:r>
      <w:r>
        <w:tab/>
      </w:r>
      <w:r>
        <w:tab/>
      </w:r>
      <w:r>
        <w:tab/>
        <w:t>okno typu 3</w:t>
      </w:r>
    </w:p>
    <w:p w:rsidR="0005626C" w:rsidRDefault="0005626C" w:rsidP="0062469F">
      <w:pPr>
        <w:spacing w:line="360" w:lineRule="auto"/>
      </w:pPr>
    </w:p>
    <w:p w:rsidR="00CA24C2" w:rsidRDefault="00CA24C2" w:rsidP="0062469F">
      <w:pPr>
        <w:spacing w:line="360" w:lineRule="auto"/>
      </w:pPr>
    </w:p>
    <w:p w:rsidR="00CA24C2" w:rsidRPr="00CA24C2" w:rsidRDefault="00CA24C2" w:rsidP="006246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24C2">
        <w:rPr>
          <w:rFonts w:ascii="Times New Roman" w:hAnsi="Times New Roman" w:cs="Times New Roman"/>
          <w:b/>
          <w:bCs/>
          <w:sz w:val="24"/>
          <w:szCs w:val="24"/>
        </w:rPr>
        <w:t>Parametry okien</w:t>
      </w:r>
    </w:p>
    <w:p w:rsidR="00CA24C2" w:rsidRDefault="001336FE" w:rsidP="00624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Okna</w:t>
      </w:r>
      <w:r w:rsidR="00E1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PCV ze wzmocnieniem </w:t>
      </w:r>
      <w:r w:rsidR="0065237E">
        <w:rPr>
          <w:rFonts w:ascii="Times New Roman" w:hAnsi="Times New Roman" w:cs="Times New Roman"/>
          <w:sz w:val="24"/>
          <w:szCs w:val="24"/>
        </w:rPr>
        <w:t>stalow</w:t>
      </w:r>
      <w:r>
        <w:rPr>
          <w:rFonts w:ascii="Times New Roman" w:hAnsi="Times New Roman" w:cs="Times New Roman"/>
          <w:sz w:val="24"/>
          <w:szCs w:val="24"/>
        </w:rPr>
        <w:t>ym wewnątrz</w:t>
      </w:r>
      <w:r w:rsidR="0065237E">
        <w:rPr>
          <w:rFonts w:ascii="Times New Roman" w:hAnsi="Times New Roman" w:cs="Times New Roman"/>
          <w:sz w:val="24"/>
          <w:szCs w:val="24"/>
        </w:rPr>
        <w:t xml:space="preserve"> w kolorze orzech</w:t>
      </w:r>
      <w:r w:rsidR="00A61587">
        <w:rPr>
          <w:rFonts w:ascii="Times New Roman" w:hAnsi="Times New Roman" w:cs="Times New Roman"/>
          <w:sz w:val="24"/>
          <w:szCs w:val="24"/>
        </w:rPr>
        <w:t>.</w:t>
      </w:r>
    </w:p>
    <w:p w:rsidR="00E171BC" w:rsidRDefault="00E171BC" w:rsidP="00A61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Szyba</w:t>
      </w:r>
      <w:r w:rsidR="00A61587">
        <w:rPr>
          <w:rFonts w:ascii="Times New Roman" w:hAnsi="Times New Roman" w:cs="Times New Roman"/>
          <w:sz w:val="24"/>
          <w:szCs w:val="24"/>
        </w:rPr>
        <w:t xml:space="preserve"> przeźroczysta</w:t>
      </w:r>
      <w:r>
        <w:rPr>
          <w:rFonts w:ascii="Times New Roman" w:hAnsi="Times New Roman" w:cs="Times New Roman"/>
          <w:sz w:val="24"/>
          <w:szCs w:val="24"/>
        </w:rPr>
        <w:t xml:space="preserve"> bez szpros, </w:t>
      </w:r>
      <w:r w:rsidR="0065237E">
        <w:rPr>
          <w:rFonts w:ascii="Times New Roman" w:hAnsi="Times New Roman" w:cs="Times New Roman"/>
          <w:sz w:val="24"/>
          <w:szCs w:val="24"/>
        </w:rPr>
        <w:t xml:space="preserve">typu TMP4 o współczynniku przenikalności ciepła nie </w:t>
      </w:r>
      <w:r w:rsidR="00A61587">
        <w:rPr>
          <w:rFonts w:ascii="Times New Roman" w:hAnsi="Times New Roman" w:cs="Times New Roman"/>
          <w:sz w:val="24"/>
          <w:szCs w:val="24"/>
        </w:rPr>
        <w:t>wyższym niż</w:t>
      </w:r>
      <w:r w:rsidR="0065237E">
        <w:rPr>
          <w:rFonts w:ascii="Times New Roman" w:hAnsi="Times New Roman" w:cs="Times New Roman"/>
          <w:sz w:val="24"/>
          <w:szCs w:val="24"/>
        </w:rPr>
        <w:t xml:space="preserve"> 0,9.</w:t>
      </w:r>
    </w:p>
    <w:p w:rsidR="0065237E" w:rsidRPr="00CA24C2" w:rsidRDefault="0065237E" w:rsidP="00624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237E" w:rsidRPr="00CA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861"/>
    <w:multiLevelType w:val="hybridMultilevel"/>
    <w:tmpl w:val="5962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6"/>
    <w:rsid w:val="000365B8"/>
    <w:rsid w:val="0005626C"/>
    <w:rsid w:val="0008228F"/>
    <w:rsid w:val="001336FE"/>
    <w:rsid w:val="001379FA"/>
    <w:rsid w:val="004F2DCC"/>
    <w:rsid w:val="005179AE"/>
    <w:rsid w:val="0062469F"/>
    <w:rsid w:val="0065237E"/>
    <w:rsid w:val="008A6C26"/>
    <w:rsid w:val="00A61587"/>
    <w:rsid w:val="00CA24C2"/>
    <w:rsid w:val="00D45595"/>
    <w:rsid w:val="00E171BC"/>
    <w:rsid w:val="00E91644"/>
    <w:rsid w:val="00FD1051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2C91"/>
  <w15:chartTrackingRefBased/>
  <w15:docId w15:val="{B339F059-848F-44E8-A177-4DEB795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26"/>
    <w:pPr>
      <w:suppressAutoHyphens/>
      <w:spacing w:after="0" w:line="240" w:lineRule="auto"/>
      <w:contextualSpacing/>
    </w:pPr>
    <w:rPr>
      <w:rFonts w:ascii="Cambria" w:hAnsi="Cambria"/>
      <w:sz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A6C26"/>
    <w:pPr>
      <w:keepNext/>
      <w:keepLines/>
      <w:spacing w:before="40"/>
      <w:jc w:val="center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A6C26"/>
    <w:rPr>
      <w:rFonts w:ascii="Cambria" w:eastAsiaTheme="majorEastAsia" w:hAnsi="Cambria" w:cstheme="majorBidi"/>
      <w:i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qFormat/>
    <w:rsid w:val="008A6C26"/>
    <w:rPr>
      <w:color w:val="808080"/>
    </w:rPr>
  </w:style>
  <w:style w:type="character" w:styleId="Pogrubienie">
    <w:name w:val="Strong"/>
    <w:basedOn w:val="Domylnaczcionkaakapitu"/>
    <w:uiPriority w:val="22"/>
    <w:qFormat/>
    <w:rsid w:val="008A6C26"/>
    <w:rPr>
      <w:b/>
      <w:bCs/>
    </w:rPr>
  </w:style>
  <w:style w:type="table" w:styleId="Tabela-Siatka">
    <w:name w:val="Table Grid"/>
    <w:basedOn w:val="Standardowy"/>
    <w:uiPriority w:val="39"/>
    <w:rsid w:val="008A6C2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Wasielak</dc:creator>
  <cp:keywords/>
  <dc:description/>
  <cp:lastModifiedBy>Anna Wasielak</cp:lastModifiedBy>
  <cp:revision>2</cp:revision>
  <dcterms:created xsi:type="dcterms:W3CDTF">2023-04-17T11:54:00Z</dcterms:created>
  <dcterms:modified xsi:type="dcterms:W3CDTF">2023-04-17T11:54:00Z</dcterms:modified>
</cp:coreProperties>
</file>