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</w:t>
      </w:r>
      <w:r w:rsidR="00052B58">
        <w:t>, Dostawa owoców, warzyw i ryb mroż</w:t>
      </w:r>
      <w:bookmarkStart w:id="0" w:name="_GoBack"/>
      <w:bookmarkEnd w:id="0"/>
      <w:r w:rsidR="00052B58">
        <w:t>onych</w:t>
      </w:r>
      <w:r>
        <w:t xml:space="preserve"> do stołówki szkolnej w Szkole Podstawowej Nr</w:t>
      </w:r>
      <w:r w:rsidR="00A12C3B">
        <w:t xml:space="preserve"> 2 w Jarosławiu </w:t>
      </w:r>
      <w:r w:rsidR="00543B4D">
        <w:t>w okresie styczeń – czerwiec 2025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A12C3B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543B4D" w:rsidP="009D4B38">
      <w:pPr>
        <w:spacing w:after="0" w:line="240" w:lineRule="auto"/>
        <w:jc w:val="both"/>
      </w:pPr>
      <w:r>
        <w:t>Jarosław, 12.12</w:t>
      </w:r>
      <w:r w:rsidR="00FC174F">
        <w:t>.2024</w:t>
      </w:r>
      <w:r w:rsidR="0047761D">
        <w:t>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34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052B58"/>
    <w:rsid w:val="003440D9"/>
    <w:rsid w:val="0047761D"/>
    <w:rsid w:val="004B1DA5"/>
    <w:rsid w:val="00543B4D"/>
    <w:rsid w:val="00597F01"/>
    <w:rsid w:val="00683A0E"/>
    <w:rsid w:val="007A4A29"/>
    <w:rsid w:val="009D0CDF"/>
    <w:rsid w:val="009D4B38"/>
    <w:rsid w:val="00A12C3B"/>
    <w:rsid w:val="00AA0CCD"/>
    <w:rsid w:val="00C04D00"/>
    <w:rsid w:val="00C37DA4"/>
    <w:rsid w:val="00D157DA"/>
    <w:rsid w:val="00D16D04"/>
    <w:rsid w:val="00EE7BD3"/>
    <w:rsid w:val="00FC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17</cp:revision>
  <dcterms:created xsi:type="dcterms:W3CDTF">2022-02-15T12:15:00Z</dcterms:created>
  <dcterms:modified xsi:type="dcterms:W3CDTF">2024-12-16T13:37:00Z</dcterms:modified>
</cp:coreProperties>
</file>