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4E4AAB94" w:rsidR="004D5F9B" w:rsidRPr="0060459C" w:rsidRDefault="004D5F9B" w:rsidP="004D5F9B">
      <w:pPr>
        <w:pStyle w:val="Domylnie"/>
        <w:spacing w:after="120"/>
        <w:jc w:val="right"/>
        <w:rPr>
          <w:rFonts w:asciiTheme="minorHAnsi" w:hAnsiTheme="minorHAnsi" w:cstheme="minorHAnsi"/>
        </w:rPr>
      </w:pPr>
      <w:bookmarkStart w:id="0" w:name="_Hlk68007308"/>
      <w:bookmarkEnd w:id="0"/>
      <w:r w:rsidRPr="00813FCF">
        <w:rPr>
          <w:rFonts w:asciiTheme="minorHAnsi" w:hAnsiTheme="minorHAnsi" w:cstheme="minorHAnsi"/>
        </w:rPr>
        <w:t>K</w:t>
      </w:r>
      <w:r w:rsidR="00C52320" w:rsidRPr="00813FCF">
        <w:rPr>
          <w:rFonts w:asciiTheme="minorHAnsi" w:hAnsiTheme="minorHAnsi" w:cstheme="minorHAnsi"/>
        </w:rPr>
        <w:t xml:space="preserve">obylnica, </w:t>
      </w:r>
      <w:r w:rsidR="006B7027" w:rsidRPr="00813FCF">
        <w:rPr>
          <w:rFonts w:asciiTheme="minorHAnsi" w:hAnsiTheme="minorHAnsi" w:cstheme="minorHAnsi"/>
        </w:rPr>
        <w:t xml:space="preserve">dnia </w:t>
      </w:r>
      <w:r w:rsidR="00813FCF" w:rsidRPr="00813FCF">
        <w:rPr>
          <w:rFonts w:asciiTheme="minorHAnsi" w:hAnsiTheme="minorHAnsi" w:cstheme="minorHAnsi"/>
        </w:rPr>
        <w:t>01.12</w:t>
      </w:r>
      <w:r w:rsidR="00F40EB2" w:rsidRPr="00813FCF">
        <w:rPr>
          <w:rFonts w:asciiTheme="minorHAnsi" w:hAnsiTheme="minorHAnsi" w:cstheme="minorHAnsi"/>
        </w:rPr>
        <w:t>.2022</w:t>
      </w:r>
      <w:r w:rsidR="0023435D" w:rsidRPr="00813FCF">
        <w:rPr>
          <w:rFonts w:asciiTheme="minorHAnsi" w:hAnsiTheme="minorHAnsi" w:cstheme="minorHAnsi"/>
        </w:rPr>
        <w:t xml:space="preserve"> </w:t>
      </w:r>
      <w:r w:rsidRPr="00813FCF">
        <w:rPr>
          <w:rFonts w:asciiTheme="minorHAnsi" w:hAnsiTheme="minorHAnsi" w:cstheme="minorHAnsi"/>
        </w:rPr>
        <w:t>r.</w:t>
      </w:r>
    </w:p>
    <w:p w14:paraId="6C550D0A" w14:textId="77777777" w:rsidR="00FD34C7" w:rsidRPr="0060459C" w:rsidRDefault="00FD34C7" w:rsidP="00C52320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FB8D4C" w14:textId="15E23B3C" w:rsidR="004D5F9B" w:rsidRPr="0060459C" w:rsidRDefault="004D5F9B" w:rsidP="00FD34C7">
      <w:pPr>
        <w:pStyle w:val="Nagwek1"/>
        <w:tabs>
          <w:tab w:val="left" w:pos="6663"/>
        </w:tabs>
        <w:spacing w:line="276" w:lineRule="auto"/>
        <w:ind w:firstLine="5238"/>
        <w:jc w:val="left"/>
        <w:rPr>
          <w:rFonts w:asciiTheme="minorHAnsi" w:hAnsiTheme="minorHAnsi" w:cstheme="minorHAnsi"/>
          <w:sz w:val="22"/>
          <w:szCs w:val="22"/>
        </w:rPr>
      </w:pPr>
      <w:r w:rsidRPr="0060459C">
        <w:rPr>
          <w:rFonts w:asciiTheme="minorHAnsi" w:hAnsiTheme="minorHAnsi" w:cstheme="minorHAnsi"/>
          <w:sz w:val="22"/>
          <w:szCs w:val="22"/>
        </w:rPr>
        <w:t>Wykonawcy</w:t>
      </w:r>
    </w:p>
    <w:p w14:paraId="35684A9E" w14:textId="2C60B1A1" w:rsidR="004D5F9B" w:rsidRPr="0060459C" w:rsidRDefault="00432A84" w:rsidP="00FD34C7">
      <w:pPr>
        <w:spacing w:before="360" w:after="240"/>
        <w:jc w:val="both"/>
        <w:rPr>
          <w:rFonts w:cstheme="minorHAnsi"/>
          <w:b/>
          <w:shd w:val="clear" w:color="auto" w:fill="FFFFFF"/>
        </w:rPr>
      </w:pPr>
      <w:r w:rsidRPr="0060459C">
        <w:rPr>
          <w:rFonts w:cstheme="minorHAnsi"/>
        </w:rPr>
        <w:t>Postępowanie pn.</w:t>
      </w:r>
      <w:r w:rsidR="004D5F9B" w:rsidRPr="0060459C">
        <w:rPr>
          <w:rFonts w:cstheme="minorHAnsi"/>
        </w:rPr>
        <w:t>:</w:t>
      </w:r>
      <w:r w:rsidR="00166BE4" w:rsidRPr="0060459C">
        <w:rPr>
          <w:rFonts w:cstheme="minorHAnsi"/>
        </w:rPr>
        <w:t xml:space="preserve"> </w:t>
      </w:r>
      <w:bookmarkStart w:id="1" w:name="_Hlk118641060"/>
      <w:r w:rsidR="00FD34C7" w:rsidRPr="0060459C">
        <w:rPr>
          <w:rFonts w:eastAsia="Arial" w:cstheme="minorHAnsi"/>
          <w:b/>
          <w:lang w:val="pl"/>
        </w:rPr>
        <w:t>Zagospodarowanie i uporządkowanie parku wiejskiego w Luleminie</w:t>
      </w:r>
      <w:bookmarkEnd w:id="1"/>
    </w:p>
    <w:p w14:paraId="23B7930C" w14:textId="4F4006C3" w:rsidR="00670EF7" w:rsidRPr="0060459C" w:rsidRDefault="00670EF7" w:rsidP="00670EF7">
      <w:pPr>
        <w:spacing w:before="360" w:after="240"/>
        <w:jc w:val="center"/>
        <w:rPr>
          <w:rFonts w:cstheme="minorHAnsi"/>
          <w:b/>
          <w:bCs/>
          <w:shd w:val="clear" w:color="auto" w:fill="FFFFFF"/>
        </w:rPr>
      </w:pPr>
      <w:r w:rsidRPr="0060459C">
        <w:rPr>
          <w:rFonts w:cstheme="minorHAnsi"/>
          <w:b/>
          <w:bCs/>
        </w:rPr>
        <w:t>Wyjaśnienie treści SWZ</w:t>
      </w:r>
      <w:r w:rsidR="00297CC5" w:rsidRPr="0060459C">
        <w:rPr>
          <w:rFonts w:cstheme="minorHAnsi"/>
          <w:b/>
          <w:bCs/>
        </w:rPr>
        <w:t xml:space="preserve"> </w:t>
      </w:r>
      <w:r w:rsidR="00297CC5" w:rsidRPr="0060459C">
        <w:rPr>
          <w:rFonts w:cstheme="minorHAnsi"/>
          <w:b/>
          <w:bCs/>
          <w:u w:val="single"/>
        </w:rPr>
        <w:t>wraz z przedłużeniem terminu składania ofert</w:t>
      </w:r>
    </w:p>
    <w:p w14:paraId="38C6D683" w14:textId="014A64C9" w:rsidR="006B7027" w:rsidRPr="0060459C" w:rsidRDefault="00FD34C7" w:rsidP="004D52F9">
      <w:pPr>
        <w:pStyle w:val="Domylnie"/>
        <w:spacing w:after="0" w:line="276" w:lineRule="auto"/>
        <w:rPr>
          <w:rFonts w:asciiTheme="minorHAnsi" w:hAnsiTheme="minorHAnsi" w:cstheme="minorHAnsi"/>
        </w:rPr>
      </w:pPr>
      <w:r w:rsidRPr="0060459C">
        <w:rPr>
          <w:rFonts w:asciiTheme="minorHAnsi" w:hAnsiTheme="minorHAnsi" w:cstheme="minorHAnsi"/>
        </w:rPr>
        <w:t xml:space="preserve">Gmina Kobylnica, jako </w:t>
      </w:r>
      <w:r w:rsidR="006B0B5D" w:rsidRPr="0060459C">
        <w:rPr>
          <w:rFonts w:asciiTheme="minorHAnsi" w:hAnsiTheme="minorHAnsi" w:cstheme="minorHAnsi"/>
        </w:rPr>
        <w:t>Zamawiający</w:t>
      </w:r>
      <w:r w:rsidR="006B7027" w:rsidRPr="0060459C">
        <w:rPr>
          <w:rFonts w:asciiTheme="minorHAnsi" w:hAnsiTheme="minorHAnsi" w:cstheme="minorHAnsi"/>
        </w:rPr>
        <w:t xml:space="preserve">, </w:t>
      </w:r>
      <w:r w:rsidR="004D5F9B" w:rsidRPr="0060459C">
        <w:rPr>
          <w:rFonts w:asciiTheme="minorHAnsi" w:hAnsiTheme="minorHAnsi" w:cstheme="minorHAnsi"/>
        </w:rPr>
        <w:t xml:space="preserve">informuje, że w prowadzonym </w:t>
      </w:r>
      <w:r w:rsidR="00B51964" w:rsidRPr="0060459C">
        <w:rPr>
          <w:rFonts w:asciiTheme="minorHAnsi" w:hAnsiTheme="minorHAnsi" w:cstheme="minorHAnsi"/>
        </w:rPr>
        <w:t>postępowaniu złożono poniższe</w:t>
      </w:r>
      <w:r w:rsidR="004D5F9B" w:rsidRPr="0060459C">
        <w:rPr>
          <w:rFonts w:asciiTheme="minorHAnsi" w:hAnsiTheme="minorHAnsi" w:cstheme="minorHAnsi"/>
        </w:rPr>
        <w:t xml:space="preserve"> </w:t>
      </w:r>
      <w:r w:rsidR="00B51964" w:rsidRPr="0060459C">
        <w:rPr>
          <w:rFonts w:asciiTheme="minorHAnsi" w:hAnsiTheme="minorHAnsi" w:cstheme="minorHAnsi"/>
        </w:rPr>
        <w:t>za</w:t>
      </w:r>
      <w:r w:rsidR="00F40EB2" w:rsidRPr="0060459C">
        <w:rPr>
          <w:rFonts w:asciiTheme="minorHAnsi" w:hAnsiTheme="minorHAnsi" w:cstheme="minorHAnsi"/>
        </w:rPr>
        <w:t>pytani</w:t>
      </w:r>
      <w:r w:rsidR="006D09CB" w:rsidRPr="0060459C">
        <w:rPr>
          <w:rFonts w:asciiTheme="minorHAnsi" w:hAnsiTheme="minorHAnsi" w:cstheme="minorHAnsi"/>
        </w:rPr>
        <w:t>a</w:t>
      </w:r>
      <w:r w:rsidR="004D5F9B" w:rsidRPr="0060459C">
        <w:rPr>
          <w:rFonts w:asciiTheme="minorHAnsi" w:hAnsiTheme="minorHAnsi" w:cstheme="minorHAnsi"/>
        </w:rPr>
        <w:t xml:space="preserve"> dotyczące treści Specyfikacji Warunków Zamówienia (SWZ) i na podstawie art. 284 ust. </w:t>
      </w:r>
      <w:r w:rsidR="006B0B5D" w:rsidRPr="0060459C">
        <w:rPr>
          <w:rFonts w:asciiTheme="minorHAnsi" w:hAnsiTheme="minorHAnsi" w:cstheme="minorHAnsi"/>
        </w:rPr>
        <w:t>4</w:t>
      </w:r>
      <w:r w:rsidR="004D5F9B" w:rsidRPr="0060459C">
        <w:rPr>
          <w:rFonts w:asciiTheme="minorHAnsi" w:hAnsiTheme="minorHAnsi" w:cstheme="minorHAnsi"/>
        </w:rPr>
        <w:t xml:space="preserve"> ustawy z dnia 11 września 2019 r. Prawo zamówień publicznych (t. j. </w:t>
      </w:r>
      <w:r w:rsidR="009C21BA" w:rsidRPr="0060459C">
        <w:rPr>
          <w:rFonts w:asciiTheme="minorHAnsi" w:hAnsiTheme="minorHAnsi" w:cstheme="minorHAnsi"/>
        </w:rPr>
        <w:t>Dz. U. z 202</w:t>
      </w:r>
      <w:r w:rsidR="000F49B7" w:rsidRPr="0060459C">
        <w:rPr>
          <w:rFonts w:asciiTheme="minorHAnsi" w:hAnsiTheme="minorHAnsi" w:cstheme="minorHAnsi"/>
        </w:rPr>
        <w:t>2</w:t>
      </w:r>
      <w:r w:rsidR="009C21BA" w:rsidRPr="0060459C">
        <w:rPr>
          <w:rFonts w:asciiTheme="minorHAnsi" w:hAnsiTheme="minorHAnsi" w:cstheme="minorHAnsi"/>
        </w:rPr>
        <w:t xml:space="preserve"> r. poz. 1</w:t>
      </w:r>
      <w:r w:rsidR="000F49B7" w:rsidRPr="0060459C">
        <w:rPr>
          <w:rFonts w:asciiTheme="minorHAnsi" w:hAnsiTheme="minorHAnsi" w:cstheme="minorHAnsi"/>
        </w:rPr>
        <w:t>710</w:t>
      </w:r>
      <w:r w:rsidR="00341AEE" w:rsidRPr="0060459C">
        <w:rPr>
          <w:rFonts w:asciiTheme="minorHAnsi" w:hAnsiTheme="minorHAnsi" w:cstheme="minorHAnsi"/>
        </w:rPr>
        <w:t xml:space="preserve"> ze zm.</w:t>
      </w:r>
      <w:r w:rsidR="009C21BA" w:rsidRPr="0060459C">
        <w:rPr>
          <w:rFonts w:asciiTheme="minorHAnsi" w:hAnsiTheme="minorHAnsi" w:cstheme="minorHAnsi"/>
        </w:rPr>
        <w:t xml:space="preserve">) </w:t>
      </w:r>
      <w:r w:rsidR="00F40EB2" w:rsidRPr="0060459C">
        <w:rPr>
          <w:rFonts w:asciiTheme="minorHAnsi" w:hAnsiTheme="minorHAnsi" w:cstheme="minorHAnsi"/>
        </w:rPr>
        <w:t xml:space="preserve">Zamawiający udziela odpowiedzi: </w:t>
      </w:r>
      <w:bookmarkStart w:id="2" w:name="_Hlk680073081"/>
      <w:bookmarkEnd w:id="2"/>
      <w:r w:rsidR="00F40EB2" w:rsidRPr="0060459C">
        <w:rPr>
          <w:rFonts w:asciiTheme="minorHAnsi" w:hAnsiTheme="minorHAnsi" w:cstheme="minorHAnsi"/>
        </w:rPr>
        <w:br/>
      </w:r>
    </w:p>
    <w:p w14:paraId="246057FC" w14:textId="77777777" w:rsidR="00FD34C7" w:rsidRPr="0060459C" w:rsidRDefault="00FD34C7" w:rsidP="00FD34C7">
      <w:pPr>
        <w:rPr>
          <w:rFonts w:cstheme="minorHAnsi"/>
          <w:b/>
          <w:bCs/>
        </w:rPr>
      </w:pPr>
      <w:r w:rsidRPr="0060459C">
        <w:rPr>
          <w:rFonts w:cstheme="minorHAnsi"/>
          <w:b/>
          <w:bCs/>
        </w:rPr>
        <w:t>Pytanie nr 1</w:t>
      </w:r>
    </w:p>
    <w:p w14:paraId="1F1C2668" w14:textId="77777777" w:rsidR="00FD34C7" w:rsidRPr="00466821" w:rsidRDefault="00FD34C7" w:rsidP="00FD34C7">
      <w:pPr>
        <w:rPr>
          <w:rFonts w:cstheme="minorHAnsi"/>
        </w:rPr>
      </w:pPr>
      <w:r w:rsidRPr="00466821">
        <w:rPr>
          <w:rFonts w:cstheme="minorHAnsi"/>
        </w:rPr>
        <w:t>Czy do obowiązków Wykonawcy należy pielęgnacja roślinności? Jeśli tak proszę o określenie dokładnych prac pielęgnacyjnych oraz okres przez jaki mają być wykonywane prace.</w:t>
      </w:r>
    </w:p>
    <w:p w14:paraId="50EE85C9" w14:textId="0980645C" w:rsidR="00466821" w:rsidRPr="00466821" w:rsidRDefault="00466821" w:rsidP="00466821">
      <w:pPr>
        <w:rPr>
          <w:rFonts w:cstheme="minorHAnsi"/>
          <w:b/>
          <w:bCs/>
        </w:rPr>
      </w:pPr>
      <w:r w:rsidRPr="00466821">
        <w:rPr>
          <w:rFonts w:cstheme="minorHAnsi"/>
          <w:b/>
          <w:bCs/>
        </w:rPr>
        <w:t>Odpowiedź nr 1</w:t>
      </w:r>
    </w:p>
    <w:p w14:paraId="15FA1EAE" w14:textId="6BC891E3" w:rsidR="00FD34C7" w:rsidRPr="0060459C" w:rsidRDefault="00FD34C7" w:rsidP="00FD34C7">
      <w:pPr>
        <w:rPr>
          <w:rFonts w:cstheme="minorHAnsi"/>
        </w:rPr>
      </w:pPr>
      <w:r w:rsidRPr="0060459C">
        <w:rPr>
          <w:rFonts w:cstheme="minorHAnsi"/>
        </w:rPr>
        <w:t>Nie, pielęgnacja roślinności nie będzie należała do obowiązków Wykonawcy.</w:t>
      </w:r>
    </w:p>
    <w:p w14:paraId="03D57CE0" w14:textId="77777777" w:rsidR="00FD34C7" w:rsidRPr="0060459C" w:rsidRDefault="00FD34C7" w:rsidP="00FD34C7">
      <w:pPr>
        <w:rPr>
          <w:rFonts w:cstheme="minorHAnsi"/>
          <w:b/>
          <w:bCs/>
        </w:rPr>
      </w:pPr>
      <w:r w:rsidRPr="0060459C">
        <w:rPr>
          <w:rFonts w:cstheme="minorHAnsi"/>
          <w:b/>
          <w:bCs/>
        </w:rPr>
        <w:t>Pytanie nr 2</w:t>
      </w:r>
    </w:p>
    <w:p w14:paraId="302443F7" w14:textId="77777777" w:rsidR="00FD34C7" w:rsidRPr="00466821" w:rsidRDefault="00FD34C7" w:rsidP="00FD34C7">
      <w:pPr>
        <w:rPr>
          <w:rFonts w:cstheme="minorHAnsi"/>
        </w:rPr>
      </w:pPr>
      <w:r w:rsidRPr="00466821">
        <w:rPr>
          <w:rFonts w:cstheme="minorHAnsi"/>
        </w:rPr>
        <w:t>Proszę o podanie parametrów materiału roślinnego przewidzianego do nasadzenia (wielkość sadzonki danego gatunku).</w:t>
      </w:r>
    </w:p>
    <w:p w14:paraId="640F05AB" w14:textId="422678AA" w:rsidR="006B0B5D" w:rsidRPr="00466821" w:rsidRDefault="006B0B5D" w:rsidP="006B0B5D">
      <w:pPr>
        <w:rPr>
          <w:rFonts w:cstheme="minorHAnsi"/>
          <w:b/>
          <w:bCs/>
        </w:rPr>
      </w:pPr>
      <w:r w:rsidRPr="00466821">
        <w:rPr>
          <w:rFonts w:cstheme="minorHAnsi"/>
          <w:b/>
          <w:bCs/>
        </w:rPr>
        <w:t>Odpowiedź</w:t>
      </w:r>
      <w:r w:rsidR="00466821" w:rsidRPr="00466821">
        <w:rPr>
          <w:rFonts w:cstheme="minorHAnsi"/>
          <w:b/>
          <w:bCs/>
        </w:rPr>
        <w:t xml:space="preserve"> nr 2</w:t>
      </w:r>
    </w:p>
    <w:p w14:paraId="7A50231C" w14:textId="35A3AAE4" w:rsidR="00FD34C7" w:rsidRPr="0060459C" w:rsidRDefault="00FD34C7" w:rsidP="00FD34C7">
      <w:pPr>
        <w:rPr>
          <w:rFonts w:cstheme="minorHAnsi"/>
        </w:rPr>
      </w:pPr>
      <w:r w:rsidRPr="0060459C">
        <w:rPr>
          <w:rFonts w:cstheme="minorHAnsi"/>
        </w:rPr>
        <w:t>Parametry roślin zostały określone w STWIOR</w:t>
      </w:r>
      <w:r w:rsidR="006B0B5D" w:rsidRPr="0060459C">
        <w:rPr>
          <w:rFonts w:cstheme="minorHAnsi"/>
        </w:rPr>
        <w:t>, stanowiącej załącznik nr 1 do SWZ</w:t>
      </w:r>
      <w:r w:rsidRPr="0060459C">
        <w:rPr>
          <w:rFonts w:cstheme="minorHAnsi"/>
        </w:rPr>
        <w:t>.</w:t>
      </w:r>
    </w:p>
    <w:p w14:paraId="4A753D0F" w14:textId="77777777" w:rsidR="00FD34C7" w:rsidRPr="0060459C" w:rsidRDefault="00FD34C7" w:rsidP="00FD34C7">
      <w:pPr>
        <w:rPr>
          <w:rFonts w:cstheme="minorHAnsi"/>
          <w:b/>
          <w:bCs/>
        </w:rPr>
      </w:pPr>
      <w:r w:rsidRPr="0060459C">
        <w:rPr>
          <w:rFonts w:cstheme="minorHAnsi"/>
          <w:b/>
          <w:bCs/>
        </w:rPr>
        <w:t>Pytanie nr 3</w:t>
      </w:r>
    </w:p>
    <w:p w14:paraId="0EB43328" w14:textId="77777777" w:rsidR="00FD34C7" w:rsidRPr="00466821" w:rsidRDefault="00FD34C7" w:rsidP="00FD34C7">
      <w:pPr>
        <w:rPr>
          <w:rFonts w:cstheme="minorHAnsi"/>
        </w:rPr>
      </w:pPr>
      <w:r w:rsidRPr="00466821">
        <w:rPr>
          <w:rFonts w:cstheme="minorHAnsi"/>
        </w:rPr>
        <w:t>Czy Zamawiający wskaże miejsce składowania ewentualnego nadmiaru ziemi koniecznej do wywiezienia? Czy Wykonawca będzie musiał przedstawić dokumenty potwierdzające utylizację ziemi?</w:t>
      </w:r>
    </w:p>
    <w:p w14:paraId="321B3CAE" w14:textId="40AA9951" w:rsidR="00FD34C7" w:rsidRPr="00466821" w:rsidRDefault="00FD34C7" w:rsidP="00FD34C7">
      <w:pPr>
        <w:rPr>
          <w:rFonts w:cstheme="minorHAnsi"/>
          <w:b/>
          <w:bCs/>
        </w:rPr>
      </w:pPr>
      <w:r w:rsidRPr="00466821">
        <w:rPr>
          <w:rFonts w:cstheme="minorHAnsi"/>
          <w:b/>
          <w:bCs/>
        </w:rPr>
        <w:t>Odpowiedź</w:t>
      </w:r>
      <w:r w:rsidR="00466821" w:rsidRPr="00466821">
        <w:rPr>
          <w:rFonts w:cstheme="minorHAnsi"/>
          <w:b/>
          <w:bCs/>
        </w:rPr>
        <w:t xml:space="preserve"> nr 3</w:t>
      </w:r>
    </w:p>
    <w:p w14:paraId="24FD12D8" w14:textId="4CF5EF59" w:rsidR="00466821" w:rsidRDefault="00FD34C7" w:rsidP="00466821">
      <w:pPr>
        <w:pStyle w:val="Zwykytekst"/>
      </w:pPr>
      <w:r w:rsidRPr="00466821">
        <w:rPr>
          <w:rFonts w:asciiTheme="minorHAnsi" w:hAnsiTheme="minorHAnsi" w:cstheme="minorHAnsi"/>
          <w:szCs w:val="22"/>
        </w:rPr>
        <w:t>Zamawiający wskaże miejsce wywozu nadmiaru ziemi.</w:t>
      </w:r>
      <w:r w:rsidR="00466821" w:rsidRPr="00466821">
        <w:rPr>
          <w:rFonts w:cstheme="minorHAnsi"/>
        </w:rPr>
        <w:t xml:space="preserve"> </w:t>
      </w:r>
      <w:r w:rsidR="00466821" w:rsidRPr="00466821">
        <w:t xml:space="preserve">Zamawiający wskaże miejsce wywozu ziemi, w związku z tym Wykonawca nie ma obowiązku przedstawianie dokumentów </w:t>
      </w:r>
      <w:r w:rsidR="00466821">
        <w:t>potwierdzających utylizację.</w:t>
      </w:r>
    </w:p>
    <w:p w14:paraId="59F3AD0F" w14:textId="1BC8A5D6" w:rsidR="00FD34C7" w:rsidRPr="0060459C" w:rsidRDefault="00FD34C7" w:rsidP="00FD34C7">
      <w:pPr>
        <w:rPr>
          <w:rFonts w:cstheme="minorHAnsi"/>
          <w:color w:val="FF0000"/>
        </w:rPr>
      </w:pPr>
    </w:p>
    <w:p w14:paraId="74430E15" w14:textId="77777777" w:rsidR="00FD34C7" w:rsidRPr="0060459C" w:rsidRDefault="00FD34C7" w:rsidP="00FD34C7">
      <w:pPr>
        <w:rPr>
          <w:rFonts w:cstheme="minorHAnsi"/>
          <w:b/>
          <w:bCs/>
        </w:rPr>
      </w:pPr>
      <w:r w:rsidRPr="0060459C">
        <w:rPr>
          <w:rFonts w:cstheme="minorHAnsi"/>
          <w:b/>
          <w:bCs/>
        </w:rPr>
        <w:lastRenderedPageBreak/>
        <w:t>Pytanie nr 4</w:t>
      </w:r>
    </w:p>
    <w:p w14:paraId="4B804293" w14:textId="77777777" w:rsidR="00FD34C7" w:rsidRPr="00466821" w:rsidRDefault="00FD34C7" w:rsidP="00FD34C7">
      <w:pPr>
        <w:rPr>
          <w:rFonts w:cstheme="minorHAnsi"/>
        </w:rPr>
      </w:pPr>
      <w:r w:rsidRPr="00466821">
        <w:rPr>
          <w:rFonts w:cstheme="minorHAnsi"/>
        </w:rPr>
        <w:t>W dokumentacji oświetlenia określone parametry lamp są niezgodne z parametrami producenta. Sam producent nie jest w stanie zmienić parametrów projektowanego produktu. Według producenta lampy parkowe posiadają poniższe parametry. W związku z powyższym, prosimy o dopuszczenie powyższych parametrów lub określenie innych opraw oświetleniowych które spełniłyby oczekiwania Zamawiającego.</w:t>
      </w:r>
    </w:p>
    <w:p w14:paraId="1286E07D" w14:textId="5257431A" w:rsidR="00FD34C7" w:rsidRPr="00466821" w:rsidRDefault="00FD34C7" w:rsidP="00FD34C7">
      <w:pPr>
        <w:rPr>
          <w:rFonts w:cstheme="minorHAnsi"/>
          <w:b/>
          <w:bCs/>
        </w:rPr>
      </w:pPr>
      <w:r w:rsidRPr="00466821">
        <w:rPr>
          <w:rFonts w:cstheme="minorHAnsi"/>
          <w:b/>
          <w:bCs/>
        </w:rPr>
        <w:t>Odpowiedź</w:t>
      </w:r>
      <w:r w:rsidR="00466821" w:rsidRPr="00466821">
        <w:rPr>
          <w:rFonts w:cstheme="minorHAnsi"/>
          <w:b/>
          <w:bCs/>
        </w:rPr>
        <w:t xml:space="preserve"> nr 4</w:t>
      </w:r>
    </w:p>
    <w:p w14:paraId="5B5EE224" w14:textId="784D1F76" w:rsidR="00FD34C7" w:rsidRPr="0060459C" w:rsidRDefault="00FD34C7" w:rsidP="00FD34C7">
      <w:pPr>
        <w:rPr>
          <w:rFonts w:cstheme="minorHAnsi"/>
        </w:rPr>
      </w:pPr>
      <w:r w:rsidRPr="0060459C">
        <w:rPr>
          <w:rFonts w:cstheme="minorHAnsi"/>
        </w:rPr>
        <w:t xml:space="preserve">Wizualizacje lamp zastosowane w projekcie stanowią jedynie rysunek poglądowy, proszę dobrać oprawę oraz słup wg parametrów określonych w </w:t>
      </w:r>
      <w:r w:rsidR="006B0B5D" w:rsidRPr="0060459C">
        <w:rPr>
          <w:rFonts w:cstheme="minorHAnsi"/>
        </w:rPr>
        <w:t>dokumentacji projektowej, stanowiącej załącznik nr 1 do SWZ.</w:t>
      </w:r>
    </w:p>
    <w:p w14:paraId="62166AE6" w14:textId="77777777" w:rsidR="00FD34C7" w:rsidRPr="0060459C" w:rsidRDefault="00FD34C7" w:rsidP="00FD34C7">
      <w:pPr>
        <w:rPr>
          <w:rFonts w:cstheme="minorHAnsi"/>
          <w:b/>
          <w:bCs/>
        </w:rPr>
      </w:pPr>
      <w:r w:rsidRPr="0060459C">
        <w:rPr>
          <w:rFonts w:cstheme="minorHAnsi"/>
          <w:b/>
          <w:bCs/>
        </w:rPr>
        <w:t>Pytanie nr 5</w:t>
      </w:r>
    </w:p>
    <w:p w14:paraId="110FE202" w14:textId="77777777" w:rsidR="00FD34C7" w:rsidRPr="00466821" w:rsidRDefault="00FD34C7" w:rsidP="00FD34C7">
      <w:pPr>
        <w:rPr>
          <w:rFonts w:cstheme="minorHAnsi"/>
        </w:rPr>
      </w:pPr>
      <w:r w:rsidRPr="00466821">
        <w:rPr>
          <w:rFonts w:cstheme="minorHAnsi"/>
        </w:rPr>
        <w:t>Jaką stawkę VAT Zamawiający przewidział w powyższym postępowaniu przetargowym? Czy jednolitą stawkę VAT 23%, czy rozbił kwotę na stawki 8 i 23%.</w:t>
      </w:r>
    </w:p>
    <w:p w14:paraId="295E2225" w14:textId="1DD662C0" w:rsidR="00FD34C7" w:rsidRPr="00466821" w:rsidRDefault="00FD34C7" w:rsidP="00FD34C7">
      <w:pPr>
        <w:rPr>
          <w:rFonts w:cstheme="minorHAnsi"/>
          <w:b/>
          <w:bCs/>
        </w:rPr>
      </w:pPr>
      <w:r w:rsidRPr="00466821">
        <w:rPr>
          <w:rFonts w:cstheme="minorHAnsi"/>
          <w:b/>
          <w:bCs/>
        </w:rPr>
        <w:t>Odpowiedź</w:t>
      </w:r>
      <w:r w:rsidR="00466821">
        <w:rPr>
          <w:rFonts w:cstheme="minorHAnsi"/>
          <w:b/>
          <w:bCs/>
        </w:rPr>
        <w:t xml:space="preserve"> nr 5</w:t>
      </w:r>
    </w:p>
    <w:p w14:paraId="1B50C0DB" w14:textId="3FB7B1A1" w:rsidR="00FD34C7" w:rsidRPr="0060459C" w:rsidRDefault="00813FCF" w:rsidP="00FD34C7">
      <w:pPr>
        <w:rPr>
          <w:rFonts w:cstheme="minorHAnsi"/>
        </w:rPr>
      </w:pPr>
      <w:r>
        <w:rPr>
          <w:rFonts w:cstheme="minorHAnsi"/>
        </w:rPr>
        <w:t>Zamawiający zmienia</w:t>
      </w:r>
      <w:r w:rsidR="00522C7E">
        <w:rPr>
          <w:rFonts w:cstheme="minorHAnsi"/>
        </w:rPr>
        <w:t xml:space="preserve"> załącznik nr 1 do SWZ w zakresie przedmiaru robót, wprowadzając aktualne przedmiary stanowiące odpowiednio załącznik nr </w:t>
      </w:r>
      <w:r w:rsidR="005201AA">
        <w:rPr>
          <w:rFonts w:cstheme="minorHAnsi"/>
        </w:rPr>
        <w:t>1a</w:t>
      </w:r>
      <w:r w:rsidR="00522C7E">
        <w:rPr>
          <w:rFonts w:cstheme="minorHAnsi"/>
        </w:rPr>
        <w:t xml:space="preserve"> i  </w:t>
      </w:r>
      <w:r w:rsidR="005201AA">
        <w:rPr>
          <w:rFonts w:cstheme="minorHAnsi"/>
        </w:rPr>
        <w:t>1b d</w:t>
      </w:r>
      <w:r w:rsidR="00522C7E">
        <w:rPr>
          <w:rFonts w:cstheme="minorHAnsi"/>
        </w:rPr>
        <w:t xml:space="preserve">o niniejszego pisma. Jednocześnie zmianie ulega </w:t>
      </w:r>
      <w:r>
        <w:rPr>
          <w:rFonts w:cstheme="minorHAnsi"/>
        </w:rPr>
        <w:t xml:space="preserve">formularz oferty, </w:t>
      </w:r>
      <w:r w:rsidR="00522C7E">
        <w:rPr>
          <w:rFonts w:cstheme="minorHAnsi"/>
        </w:rPr>
        <w:t xml:space="preserve">w zakresie sposobu </w:t>
      </w:r>
      <w:r w:rsidR="005201AA">
        <w:rPr>
          <w:rFonts w:cstheme="minorHAnsi"/>
        </w:rPr>
        <w:t xml:space="preserve">przedstawienia zaoferowanej </w:t>
      </w:r>
      <w:r w:rsidR="00522C7E">
        <w:rPr>
          <w:rFonts w:cstheme="minorHAnsi"/>
        </w:rPr>
        <w:t xml:space="preserve">ceny. Aktualny formularz oferty stanowi załącznik nr </w:t>
      </w:r>
      <w:r w:rsidR="005201AA">
        <w:rPr>
          <w:rFonts w:cstheme="minorHAnsi"/>
        </w:rPr>
        <w:t>2</w:t>
      </w:r>
      <w:r w:rsidR="00522C7E">
        <w:rPr>
          <w:rFonts w:cstheme="minorHAnsi"/>
        </w:rPr>
        <w:t xml:space="preserve"> do niniejszego pisma.</w:t>
      </w:r>
      <w:r>
        <w:rPr>
          <w:rFonts w:cstheme="minorHAnsi"/>
        </w:rPr>
        <w:t xml:space="preserve">  </w:t>
      </w:r>
    </w:p>
    <w:p w14:paraId="698DC623" w14:textId="05391D29" w:rsidR="00E21B19" w:rsidRPr="0060459C" w:rsidRDefault="00E21B19" w:rsidP="00E21B19">
      <w:pPr>
        <w:rPr>
          <w:rFonts w:cstheme="minorHAnsi"/>
          <w:b/>
          <w:bCs/>
        </w:rPr>
      </w:pPr>
      <w:r w:rsidRPr="0060459C">
        <w:rPr>
          <w:rFonts w:cstheme="minorHAnsi"/>
          <w:b/>
          <w:bCs/>
        </w:rPr>
        <w:t>Pytanie nr 6</w:t>
      </w:r>
    </w:p>
    <w:p w14:paraId="7B206D95" w14:textId="197547EC" w:rsidR="00E21B19" w:rsidRPr="0060459C" w:rsidRDefault="00E21B19" w:rsidP="00E21B19">
      <w:pPr>
        <w:rPr>
          <w:rFonts w:cstheme="minorHAnsi"/>
          <w:b/>
          <w:bCs/>
        </w:rPr>
      </w:pPr>
      <w:r w:rsidRPr="0060459C">
        <w:rPr>
          <w:rStyle w:val="markedcontent"/>
          <w:rFonts w:cstheme="minorHAnsi"/>
        </w:rPr>
        <w:t>Zgodnie z treścią § 13 ust. pkt 1.2 wzoru umowy, stanowiącego załącznik nr 8 do SWZ, Zamawiający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przewiduje kary umowne w wysokości: 0,5% wartości brutto wynagrodzenia wskazanego w §10 ust. 1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za każdy rozpoczęty dzień zwłoki licząc od dnia następującego po upływie terminu wykonania</w:t>
      </w:r>
      <w:r w:rsidR="0060459C">
        <w:rPr>
          <w:rStyle w:val="markedcontent"/>
          <w:rFonts w:cstheme="minorHAnsi"/>
        </w:rPr>
        <w:t xml:space="preserve"> </w:t>
      </w:r>
      <w:r w:rsidRPr="0060459C">
        <w:rPr>
          <w:rStyle w:val="markedcontent"/>
          <w:rFonts w:cstheme="minorHAnsi"/>
        </w:rPr>
        <w:t>przedmiotu umowy określonego w § 3 ust. 1.</w:t>
      </w:r>
      <w:r w:rsidR="0060459C">
        <w:rPr>
          <w:rStyle w:val="markedcontent"/>
          <w:rFonts w:cstheme="minorHAnsi"/>
        </w:rPr>
        <w:t xml:space="preserve"> </w:t>
      </w:r>
      <w:r w:rsidRPr="0060459C">
        <w:rPr>
          <w:rStyle w:val="markedcontent"/>
          <w:rFonts w:cstheme="minorHAnsi"/>
        </w:rPr>
        <w:t>W ocenie Wykonawcy, tak ukształtowane kary umowne są: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1. nieproporcjonalnie wysokie w stosunku do całości przedmiotu zamówienia,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2. rażąco odbiegają od rozmiaru potencjalnej szkody, możliwej do poniesienia przez Zamawiającego w efekcie nienależytego wykonania zobowiązania przez Wykonawcę.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Wykonawca zdaje sobie sprawę, że w reżimie zamówień publicznych to Zamawiający, jako gospodarz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postępowania określa szczegółowe warunki kontraktowe, a zasada swobody umów wynikająca z art.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3531 KC, doznaje istotnego ograniczenia. Niemniej jednak uprawnienie Zamawiającego do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jednostronnego kształtowania warunków przyszłej umowy nie może mieć charakteru absolutnego.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Zamawiający nie powinien bowiem tracić z pola widzenia celu obciążania wykonawcy karami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umownymi, które to kary stanowią surogat odszkodowania należnego z tytułu niewykonania bądź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nienależytego wykonania umowy.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Pragniemy wskazać, że rażąco wygórowane kary umowne przekładają się bezpośrednio na wysokość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ceny oferty. Wykonawca racjonalnie kalkulujący cenę ofertową musi bowiem uwzględnić w tej cenie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 xml:space="preserve">nie tylko koszty wytworzenia przedmiotu umowy i zakładany zysk, ale również wszelkie ryzyka </w:t>
      </w:r>
      <w:r w:rsidRPr="0060459C">
        <w:rPr>
          <w:rStyle w:val="markedcontent"/>
          <w:rFonts w:cstheme="minorHAnsi"/>
        </w:rPr>
        <w:lastRenderedPageBreak/>
        <w:t>związane</w:t>
      </w:r>
      <w:r w:rsidR="0060459C">
        <w:rPr>
          <w:rStyle w:val="markedcontent"/>
          <w:rFonts w:cstheme="minorHAnsi"/>
        </w:rPr>
        <w:t xml:space="preserve"> z </w:t>
      </w:r>
      <w:r w:rsidRPr="0060459C">
        <w:rPr>
          <w:rStyle w:val="markedcontent"/>
          <w:rFonts w:cstheme="minorHAnsi"/>
        </w:rPr>
        <w:t>realizacją danego zamówienia, w tym zastrzeżone przez Zamawiającego kary umowne. Zawyżanie ceny</w:t>
      </w:r>
      <w:r w:rsidR="0060459C">
        <w:rPr>
          <w:rStyle w:val="markedcontent"/>
          <w:rFonts w:cstheme="minorHAnsi"/>
        </w:rPr>
        <w:t xml:space="preserve"> </w:t>
      </w:r>
      <w:r w:rsidRPr="0060459C">
        <w:rPr>
          <w:rStyle w:val="markedcontent"/>
          <w:rFonts w:cstheme="minorHAnsi"/>
        </w:rPr>
        <w:t>ofertowej w związku z przerzuceniem nieproporcjonalnie wysokich kar na wykonawców doprowadzić</w:t>
      </w:r>
      <w:r w:rsidR="0060459C">
        <w:rPr>
          <w:rStyle w:val="markedcontent"/>
          <w:rFonts w:cstheme="minorHAnsi"/>
        </w:rPr>
        <w:t xml:space="preserve"> </w:t>
      </w:r>
      <w:r w:rsidRPr="0060459C">
        <w:rPr>
          <w:rStyle w:val="markedcontent"/>
          <w:rFonts w:cstheme="minorHAnsi"/>
        </w:rPr>
        <w:t>może do nieefektywnego wydatkowania środków publicznych przez Zamawiającego bądź wręcz do</w:t>
      </w:r>
      <w:r w:rsidR="0060459C">
        <w:rPr>
          <w:rStyle w:val="markedcontent"/>
          <w:rFonts w:cstheme="minorHAnsi"/>
        </w:rPr>
        <w:t xml:space="preserve"> </w:t>
      </w:r>
      <w:r w:rsidRPr="0060459C">
        <w:rPr>
          <w:rStyle w:val="markedcontent"/>
          <w:rFonts w:cstheme="minorHAnsi"/>
        </w:rPr>
        <w:t>konieczności unieważnienia postępowania, na skutek zaoferowania ceny w wysokości przewyższającej</w:t>
      </w:r>
      <w:r w:rsidR="0060459C">
        <w:rPr>
          <w:rStyle w:val="markedcontent"/>
          <w:rFonts w:cstheme="minorHAnsi"/>
        </w:rPr>
        <w:t xml:space="preserve"> </w:t>
      </w:r>
      <w:r w:rsidRPr="0060459C">
        <w:rPr>
          <w:rStyle w:val="markedcontent"/>
          <w:rFonts w:cstheme="minorHAnsi"/>
        </w:rPr>
        <w:t>kwotę, jaką Zamawiający przeznaczyć na sfinansowanie zamówienia.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Ponadto kara umowna, której wartość nie koresponduje z wysokością szkody, jaką może ponieść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Zamawiający prowadzi do nieuzasadnionego wzbogacenia Zamawiającego kosztem wykonawcy.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Podkreślenia wymaga, że kara umowna, jako surogat odszkodowania, powinna zmierzać do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naprawienia szkody wyrządzonej Zamawiającemu z tytułu niewykonania lub nienależytego wykonania</w:t>
      </w:r>
      <w:r w:rsidR="0060459C">
        <w:rPr>
          <w:rStyle w:val="markedcontent"/>
          <w:rFonts w:cstheme="minorHAnsi"/>
        </w:rPr>
        <w:t xml:space="preserve"> </w:t>
      </w:r>
      <w:r w:rsidRPr="0060459C">
        <w:rPr>
          <w:rStyle w:val="markedcontent"/>
          <w:rFonts w:cstheme="minorHAnsi"/>
        </w:rPr>
        <w:t>świadczenia niepieniężnego, a nie stanowić dla niego źródło dodatkowego zysku. Za niedopuszczalne</w:t>
      </w:r>
      <w:r w:rsidR="0060459C">
        <w:rPr>
          <w:rStyle w:val="markedcontent"/>
          <w:rFonts w:cstheme="minorHAnsi"/>
        </w:rPr>
        <w:t xml:space="preserve"> </w:t>
      </w:r>
      <w:r w:rsidRPr="0060459C">
        <w:rPr>
          <w:rStyle w:val="markedcontent"/>
          <w:rFonts w:cstheme="minorHAnsi"/>
        </w:rPr>
        <w:t>należy zatem uznać takie kształtowanie wysokości kar umownych które nie jest racjonalnie powiązane</w:t>
      </w:r>
      <w:r w:rsidR="0060459C">
        <w:rPr>
          <w:rStyle w:val="markedcontent"/>
          <w:rFonts w:cstheme="minorHAnsi"/>
        </w:rPr>
        <w:t xml:space="preserve"> </w:t>
      </w:r>
      <w:r w:rsidRPr="0060459C">
        <w:rPr>
          <w:rStyle w:val="markedcontent"/>
          <w:rFonts w:cstheme="minorHAnsi"/>
        </w:rPr>
        <w:t>z możliwym uszczerbkiem po stronie Zamawiającego. W tym kontekście kary umowne powinny być</w:t>
      </w:r>
      <w:r w:rsidR="0060459C">
        <w:rPr>
          <w:rStyle w:val="markedcontent"/>
          <w:rFonts w:cstheme="minorHAnsi"/>
        </w:rPr>
        <w:t xml:space="preserve"> </w:t>
      </w:r>
      <w:r w:rsidRPr="0060459C">
        <w:rPr>
          <w:rStyle w:val="markedcontent"/>
          <w:rFonts w:cstheme="minorHAnsi"/>
        </w:rPr>
        <w:t>określane w wysokości adekwatnej do ewentualnej szkody, tak aby mogły spełniać swoje funkcje, a nie</w:t>
      </w:r>
      <w:r w:rsidR="0060459C">
        <w:rPr>
          <w:rStyle w:val="markedcontent"/>
          <w:rFonts w:cstheme="minorHAnsi"/>
        </w:rPr>
        <w:t xml:space="preserve"> </w:t>
      </w:r>
      <w:r w:rsidRPr="0060459C">
        <w:rPr>
          <w:rStyle w:val="markedcontent"/>
          <w:rFonts w:cstheme="minorHAnsi"/>
        </w:rPr>
        <w:t>zniechęcać wykonawców do brania udziału w postępowaniu o udzielenie zamówienia publicznego.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W związku z powyższym wnosimy o zmianę § 13 pkt 1.2 wzoru umowy i nadanie mu następującego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brzmienia: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2) za zwłokę w wykonaniu przedmiotu umowy lub jego części w wysokości 0,1% wartości brutto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wynagrodzenia wskazanego w §10 ust. 1 za każdy rozpoczęty dzień zwłoki licząc od dnia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następującego po upływie terminu wykonania przedmiotu umowy określonego w § 3 ust. 1,</w:t>
      </w:r>
    </w:p>
    <w:p w14:paraId="7EF72618" w14:textId="0E245577" w:rsidR="00E21B19" w:rsidRPr="00466821" w:rsidRDefault="00E21B19" w:rsidP="00E21B19">
      <w:pPr>
        <w:rPr>
          <w:rFonts w:cstheme="minorHAnsi"/>
          <w:b/>
          <w:bCs/>
        </w:rPr>
      </w:pPr>
      <w:r w:rsidRPr="00466821">
        <w:rPr>
          <w:rFonts w:cstheme="minorHAnsi"/>
          <w:b/>
          <w:bCs/>
        </w:rPr>
        <w:t>Odpowiedź</w:t>
      </w:r>
      <w:r w:rsidR="00466821" w:rsidRPr="00466821">
        <w:rPr>
          <w:rFonts w:cstheme="minorHAnsi"/>
          <w:b/>
          <w:bCs/>
        </w:rPr>
        <w:t xml:space="preserve"> nr 6</w:t>
      </w:r>
    </w:p>
    <w:p w14:paraId="6A7D70CF" w14:textId="0AF727FE" w:rsidR="00E21B19" w:rsidRPr="0060459C" w:rsidRDefault="00E21B19" w:rsidP="00E21B19">
      <w:pPr>
        <w:rPr>
          <w:rFonts w:cstheme="minorHAnsi"/>
        </w:rPr>
      </w:pPr>
      <w:r w:rsidRPr="0060459C">
        <w:rPr>
          <w:rFonts w:cstheme="minorHAnsi"/>
        </w:rPr>
        <w:t>Zamawiający przychyla się do wniosku Wykonawcy o obniżenie kary umownej. Zamawiający dokonuje jej zmniejszenia do wysokości uznanej za racjonalną tj., 0,3%  wartości brutto wynagrodzenia</w:t>
      </w:r>
      <w:r w:rsidR="0060459C">
        <w:rPr>
          <w:rFonts w:cstheme="minorHAnsi"/>
        </w:rPr>
        <w:t>. Obowiązujący projekt umowy, stanowi załącznik nr 1 do niniejszego pisma.</w:t>
      </w:r>
    </w:p>
    <w:p w14:paraId="695DAC68" w14:textId="7B1F55C6" w:rsidR="00E21B19" w:rsidRPr="0060459C" w:rsidRDefault="00E21B19" w:rsidP="00E21B19">
      <w:pPr>
        <w:rPr>
          <w:rFonts w:cstheme="minorHAnsi"/>
          <w:b/>
          <w:bCs/>
        </w:rPr>
      </w:pPr>
      <w:r w:rsidRPr="0060459C">
        <w:rPr>
          <w:rFonts w:cstheme="minorHAnsi"/>
          <w:b/>
          <w:bCs/>
        </w:rPr>
        <w:t>Pytanie nr 7</w:t>
      </w:r>
    </w:p>
    <w:p w14:paraId="7C2A85B6" w14:textId="60075E8F" w:rsidR="00E21B19" w:rsidRPr="0060459C" w:rsidRDefault="00E21B19" w:rsidP="00E21B19">
      <w:pPr>
        <w:rPr>
          <w:rFonts w:cstheme="minorHAnsi"/>
          <w:b/>
          <w:bCs/>
        </w:rPr>
      </w:pPr>
      <w:r w:rsidRPr="0060459C">
        <w:rPr>
          <w:rStyle w:val="markedcontent"/>
          <w:rFonts w:cstheme="minorHAnsi"/>
        </w:rPr>
        <w:t>W nawiązaniu do zapisów Rozdz. XVII SWZ w zakresie opisu kryteriów oceny ofert Zamawiający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wskazuje na okres oferowanej gwarancji jako jedno z kryteriów oceny punktowej oferty Wykonawcy.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Zwracamy uwagę, iż wskazany przez Zamawiającego przedział okresu zobowiązania gwarancyjnego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Wykonawcy, w szczególności jego maksymalna długość nie są w żaden sposób uzasadnione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ekonomicznie ani nie technologicznie biorąc pod uwagę charakter urządzeń planowanych do montażu w ramach przedmiotowej inwestycji.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Standardem rynkowym dla gwarancji producenckich w przypadku urządzeń małej architektury jest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okres 24-36 miesięcy. Maksymalnym okresem na jaki wyrażają zgodę producenci jest ewentualnie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okres 60 miesięcy przy czym oczywistym jest, iż wydłużona w ten sposób gwarancja znacząco wpływa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na cenę urządzenia podstawowego. Cykl życia wskazanych powyżej urządzeń jest więc ściśle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określony i jest oczywistym, że biorąc pod uwagę ich charakter, podlegają one ciągłej eksploatacji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przez użytkowników, a w konsekwencji tego naturalnemu zużyciu. Określenie przez Zamawiającego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 xml:space="preserve">możliwości wydłużenia gwarancji do okresu 84 </w:t>
      </w:r>
      <w:proofErr w:type="spellStart"/>
      <w:r w:rsidRPr="0060459C">
        <w:rPr>
          <w:rStyle w:val="markedcontent"/>
          <w:rFonts w:cstheme="minorHAnsi"/>
        </w:rPr>
        <w:t>msc</w:t>
      </w:r>
      <w:proofErr w:type="spellEnd"/>
      <w:r w:rsidRPr="0060459C">
        <w:rPr>
          <w:rStyle w:val="markedcontent"/>
          <w:rFonts w:cstheme="minorHAnsi"/>
        </w:rPr>
        <w:t>. prowadzi więc z jednej strony do ponoszenia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przez Zamawiającego niezasadnych kosztów, ze względu na fakt wkalkulowania przez Wykonawców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lastRenderedPageBreak/>
        <w:t>znaczących, dodatkowych kosztów na naprawy gwarancyjne wyeksploatowanych urządzeń, a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niejednokrotnie także kosztu zakupu dodatkowych urządzeń przy świadomości, iż ich cykl życia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znacząco odbiega od okresu pożądanego przez Zamawiającego. Z drugiej strony zaś prowadzi do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sytuacji w której Zamawiający, mając świadomość faktu naturalnego zużywania się urządzeń oraz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faktu konieczności wymieniania ich po kilku latach angażuje swoje własne środki w naprawy starszych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urządzeń, posiadających starsze rozwiązania techniczne, których całościowa kwota w ogólnym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rozrachunku przekracza niejednokrotnie koszt nowych urządzeń.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Większość materiałów i urządzeń po okresie 5 lat ulega naturalnemu wykorzystaniu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i wyeksploatowaniu i powinny podlegać wymianie nie tylko ze względu na wyeksploatowanie ale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również ze względu na idący postęp technologiczny. Ciągłe naprawy urządzeń na koszt Wykonawcy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tak naprawdę są niepoprawne ekonomicznie, ponieważ zastosowanie nowych urządzeń spowoduje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łatwość eksploatacji obiektu, a co najważniejsze niższe koszty eksploatacji. Oferowanie przez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Wykonawców nierealnie wydłużonych okresów gwarancji wcale nie oznacza, że oferują coś znacznie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wytrzymalszego, o wydłużonej żywotności</w:t>
      </w:r>
      <w:r w:rsidR="0060459C">
        <w:rPr>
          <w:rStyle w:val="markedcontent"/>
          <w:rFonts w:cstheme="minorHAnsi"/>
        </w:rPr>
        <w:t xml:space="preserve"> </w:t>
      </w:r>
      <w:r w:rsidRPr="0060459C">
        <w:rPr>
          <w:rStyle w:val="markedcontent"/>
          <w:rFonts w:cstheme="minorHAnsi"/>
        </w:rPr>
        <w:t>i przewadze technologicznej swojego rozwiązania. Zachowanie to ma na celu jedynie zdobycie</w:t>
      </w:r>
      <w:r w:rsidR="0060459C">
        <w:rPr>
          <w:rStyle w:val="markedcontent"/>
          <w:rFonts w:cstheme="minorHAnsi"/>
        </w:rPr>
        <w:t xml:space="preserve"> </w:t>
      </w:r>
      <w:r w:rsidRPr="0060459C">
        <w:rPr>
          <w:rStyle w:val="markedcontent"/>
          <w:rFonts w:cstheme="minorHAnsi"/>
        </w:rPr>
        <w:t>przewagi punktowej. Zamawiający wszędzie gdzie to możliwe powinien brać pod uwagę okres życia</w:t>
      </w:r>
      <w:r w:rsidR="0060459C">
        <w:rPr>
          <w:rStyle w:val="markedcontent"/>
          <w:rFonts w:cstheme="minorHAnsi"/>
        </w:rPr>
        <w:t xml:space="preserve"> </w:t>
      </w:r>
      <w:r w:rsidRPr="0060459C">
        <w:rPr>
          <w:rStyle w:val="markedcontent"/>
          <w:rFonts w:cstheme="minorHAnsi"/>
        </w:rPr>
        <w:t>produktu. Powinien także zastanowić się jak długo zamierza dane urządzenie użytkować i czy</w:t>
      </w:r>
      <w:r w:rsidR="0060459C">
        <w:rPr>
          <w:rStyle w:val="markedcontent"/>
          <w:rFonts w:cstheme="minorHAnsi"/>
        </w:rPr>
        <w:t xml:space="preserve"> </w:t>
      </w:r>
      <w:r w:rsidRPr="0060459C">
        <w:rPr>
          <w:rStyle w:val="markedcontent"/>
          <w:rFonts w:cstheme="minorHAnsi"/>
        </w:rPr>
        <w:t>producenci urządzeń zapewniają produkcję części zamiennych w tej perspektywie czasowej.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Zasady doświadczenia życiowego, jak również instytucji gwarancji na tego typu towary nakazuje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sądzić, że jedyną i wyłączną przesłanką tak wysoko określonego okresu gwarancji (84 m-</w:t>
      </w:r>
      <w:proofErr w:type="spellStart"/>
      <w:r w:rsidRPr="0060459C">
        <w:rPr>
          <w:rStyle w:val="markedcontent"/>
          <w:rFonts w:cstheme="minorHAnsi"/>
        </w:rPr>
        <w:t>cy</w:t>
      </w:r>
      <w:proofErr w:type="spellEnd"/>
      <w:r w:rsidRPr="0060459C">
        <w:rPr>
          <w:rStyle w:val="markedcontent"/>
          <w:rFonts w:cstheme="minorHAnsi"/>
        </w:rPr>
        <w:t>) przez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Wykonawcę jest jedynie chęć uzyskania maksymalnej ilości punktów za okres gwarancji (aż 40/100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pkt), a nie rzeczywiste możliwości gwarantowania poprawności działania zaoferowanych towarów i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usług gwarancyjnych.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Zamawiający nadał kryterium gwarancji wagę aż 40 %, co w sposób absolutnie kluczowy może i w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efekcie zaważy na kolejności poszczególnych ofert.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Biorąc pod uwagę ustalone przez Zamawiającego w postępowaniu kryteria oceny ofert, gdzie za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wskazanie jak najdłuższego okresu gwarancji można było uzyskać aż 40 na 100 możliwych punktów,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zachowania Wykonawców, oferujących nierealnie długie okresy gwarancji, nie można oceniać z innej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perspektywy, jak tylko zamiarem zawyżenia własnej punktacji.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Sztuczne wydłużenie „okres gwarancji” należy poczytywać za działanie uniemożliwiające lub znacznie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utrudniające uzyskanie zamówienia innym wykonawcom, którzy zdecydowali się udzielić gwarancji na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realny i adekwatny do przedmiotu zamówienia okres.1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Należy zaznaczyć, iż oferowanie bezzasadnie długiego okresu gwarancji jest oderwane od realiów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przedmiotowego zamówienia i nie będzie wiązać się w rzeczywistości z możliwością wykonywania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świadczeń gwarancyjnych, przez Wykonawcę, w takim okresie.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W związku z powyższym wnosimy o urealnienie maksymalnego okresu gwarancji możliwej do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zaoferowania przez Wykonawców oraz punktowanej przez Zamawiającego do poziomu 60 m-</w:t>
      </w:r>
      <w:proofErr w:type="spellStart"/>
      <w:r w:rsidRPr="0060459C">
        <w:rPr>
          <w:rStyle w:val="markedcontent"/>
          <w:rFonts w:cstheme="minorHAnsi"/>
        </w:rPr>
        <w:t>cy</w:t>
      </w:r>
      <w:proofErr w:type="spellEnd"/>
      <w:r w:rsidRPr="0060459C">
        <w:rPr>
          <w:rStyle w:val="markedcontent"/>
          <w:rFonts w:cstheme="minorHAnsi"/>
        </w:rPr>
        <w:t>, tak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by w ramach przedmiotowego postępowania wykluczyć ryzyko otrzymania ofert stanowiących czyn nieuczciwej konkurencji lub docelowo zawarcia umowy o świadczenie niemożliwe</w:t>
      </w:r>
      <w:r w:rsidR="0060459C">
        <w:rPr>
          <w:rStyle w:val="markedcontent"/>
          <w:rFonts w:cstheme="minorHAnsi"/>
        </w:rPr>
        <w:t>.</w:t>
      </w:r>
      <w:r w:rsidRPr="0060459C">
        <w:rPr>
          <w:rFonts w:cstheme="minorHAnsi"/>
        </w:rPr>
        <w:br/>
      </w:r>
      <w:r w:rsidRPr="0060459C">
        <w:rPr>
          <w:rStyle w:val="markedcontent"/>
          <w:rFonts w:cstheme="minorHAnsi"/>
        </w:rPr>
        <w:t>1 Wyrok z dnia 23 marca 2016 r., KIO 369/16</w:t>
      </w:r>
    </w:p>
    <w:p w14:paraId="07307968" w14:textId="77777777" w:rsidR="005201AA" w:rsidRDefault="005201AA" w:rsidP="00E21B1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9AC119C" w14:textId="27F899C9" w:rsidR="00E21B19" w:rsidRPr="00466821" w:rsidRDefault="00E21B19" w:rsidP="00E21B19">
      <w:pPr>
        <w:rPr>
          <w:rFonts w:cstheme="minorHAnsi"/>
          <w:b/>
          <w:bCs/>
        </w:rPr>
      </w:pPr>
      <w:r w:rsidRPr="00466821">
        <w:rPr>
          <w:rFonts w:cstheme="minorHAnsi"/>
          <w:b/>
          <w:bCs/>
        </w:rPr>
        <w:lastRenderedPageBreak/>
        <w:t>Odpowiedź</w:t>
      </w:r>
      <w:r w:rsidR="00466821" w:rsidRPr="00466821">
        <w:rPr>
          <w:rFonts w:cstheme="minorHAnsi"/>
          <w:b/>
          <w:bCs/>
        </w:rPr>
        <w:t xml:space="preserve"> nr 7</w:t>
      </w:r>
    </w:p>
    <w:p w14:paraId="692C62DD" w14:textId="65731179" w:rsidR="00E21B19" w:rsidRPr="0060459C" w:rsidRDefault="00E21B19" w:rsidP="00E21B19">
      <w:pPr>
        <w:rPr>
          <w:rFonts w:cstheme="minorHAnsi"/>
        </w:rPr>
      </w:pPr>
      <w:r w:rsidRPr="0060459C">
        <w:rPr>
          <w:rFonts w:cstheme="minorHAnsi"/>
        </w:rPr>
        <w:t xml:space="preserve">Zamawiający </w:t>
      </w:r>
      <w:r w:rsidR="0060459C">
        <w:rPr>
          <w:rFonts w:cstheme="minorHAnsi"/>
        </w:rPr>
        <w:t>nie zmienia kryteriów oceny ofert.</w:t>
      </w:r>
    </w:p>
    <w:p w14:paraId="639B7C32" w14:textId="277D669C" w:rsidR="00E21B19" w:rsidRPr="0060459C" w:rsidRDefault="00E21B19" w:rsidP="00E21B19">
      <w:pPr>
        <w:rPr>
          <w:rFonts w:cstheme="minorHAnsi"/>
          <w:b/>
          <w:bCs/>
        </w:rPr>
      </w:pPr>
      <w:r w:rsidRPr="0060459C">
        <w:rPr>
          <w:rFonts w:cstheme="minorHAnsi"/>
          <w:b/>
          <w:bCs/>
        </w:rPr>
        <w:t>Pytanie nr 8</w:t>
      </w:r>
    </w:p>
    <w:p w14:paraId="10D625AC" w14:textId="3BC16D20" w:rsidR="00E21B19" w:rsidRPr="00466821" w:rsidRDefault="00E21B19" w:rsidP="00E21B19">
      <w:pPr>
        <w:rPr>
          <w:rFonts w:cstheme="minorHAnsi"/>
        </w:rPr>
      </w:pPr>
      <w:r w:rsidRPr="00466821">
        <w:rPr>
          <w:rFonts w:cstheme="minorHAnsi"/>
        </w:rPr>
        <w:t>W nawiązaniu do postępowania, proszę o informację, jaką stawkę VAT powinni zastosować Wykonawcy? Zamówienie obejmuje zarówno roboty budowlane jak i zieleń.</w:t>
      </w:r>
    </w:p>
    <w:p w14:paraId="5EF863A0" w14:textId="48C65C0E" w:rsidR="00E21B19" w:rsidRPr="00466821" w:rsidRDefault="00E21B19" w:rsidP="00E21B19">
      <w:pPr>
        <w:rPr>
          <w:rFonts w:cstheme="minorHAnsi"/>
          <w:b/>
          <w:bCs/>
        </w:rPr>
      </w:pPr>
      <w:r w:rsidRPr="00466821">
        <w:rPr>
          <w:rFonts w:cstheme="minorHAnsi"/>
          <w:b/>
          <w:bCs/>
        </w:rPr>
        <w:t>Odpowiedź</w:t>
      </w:r>
      <w:r w:rsidR="00466821">
        <w:rPr>
          <w:rFonts w:cstheme="minorHAnsi"/>
          <w:b/>
          <w:bCs/>
        </w:rPr>
        <w:t xml:space="preserve"> nr 8</w:t>
      </w:r>
    </w:p>
    <w:p w14:paraId="0D008F7F" w14:textId="63F79C79" w:rsidR="00E21B19" w:rsidRPr="0060459C" w:rsidRDefault="0060459C" w:rsidP="00FD34C7">
      <w:pPr>
        <w:rPr>
          <w:rFonts w:cstheme="minorHAnsi"/>
        </w:rPr>
      </w:pPr>
      <w:r>
        <w:rPr>
          <w:rFonts w:cstheme="minorHAnsi"/>
        </w:rPr>
        <w:t>Zamawiający udzielił odpowiedzi nr 5 niniejszego pisma.</w:t>
      </w:r>
    </w:p>
    <w:p w14:paraId="2934CEF5" w14:textId="77777777" w:rsidR="00E21B19" w:rsidRPr="0060459C" w:rsidRDefault="00E21B19" w:rsidP="00FD34C7">
      <w:pPr>
        <w:rPr>
          <w:rFonts w:cstheme="minorHAnsi"/>
        </w:rPr>
      </w:pPr>
    </w:p>
    <w:p w14:paraId="45FB698A" w14:textId="11DFEA99" w:rsidR="00297CC5" w:rsidRPr="0060459C" w:rsidRDefault="00297CC5" w:rsidP="00297CC5">
      <w:pPr>
        <w:spacing w:line="276" w:lineRule="auto"/>
        <w:rPr>
          <w:rFonts w:eastAsia="SimSun" w:cstheme="minorHAnsi"/>
          <w:b/>
          <w:bCs/>
          <w:lang w:eastAsia="en-US"/>
        </w:rPr>
      </w:pPr>
      <w:r w:rsidRPr="0060459C">
        <w:rPr>
          <w:rFonts w:eastAsia="SimSun" w:cstheme="minorHAnsi"/>
          <w:b/>
          <w:bCs/>
          <w:lang w:eastAsia="en-US"/>
        </w:rPr>
        <w:t xml:space="preserve">Zamawiający niniejszym pismem dokonuje zmiany SWZ oraz odpowiednio treści ogłoszenia o zamówieniu w zakresie: </w:t>
      </w:r>
    </w:p>
    <w:p w14:paraId="590CBD9B" w14:textId="77777777" w:rsidR="00297CC5" w:rsidRPr="0060459C" w:rsidRDefault="00297CC5" w:rsidP="00297CC5">
      <w:pPr>
        <w:pStyle w:val="Akapitzlist"/>
        <w:numPr>
          <w:ilvl w:val="0"/>
          <w:numId w:val="14"/>
        </w:numPr>
        <w:spacing w:line="276" w:lineRule="auto"/>
        <w:rPr>
          <w:rFonts w:eastAsia="SimSun" w:cstheme="minorHAnsi"/>
          <w:lang w:eastAsia="en-US"/>
        </w:rPr>
      </w:pPr>
      <w:r w:rsidRPr="0060459C">
        <w:rPr>
          <w:rFonts w:eastAsia="SimSun" w:cstheme="minorHAnsi"/>
          <w:lang w:eastAsia="en-US"/>
        </w:rPr>
        <w:t>terminu związania ofertą - Rozdziału XIV ust. 1, który otrzymuje następujące brzmienie:</w:t>
      </w:r>
    </w:p>
    <w:p w14:paraId="58D2C16B" w14:textId="43CF2112" w:rsidR="00297CC5" w:rsidRPr="00157C14" w:rsidRDefault="00297CC5" w:rsidP="00157C14">
      <w:pPr>
        <w:tabs>
          <w:tab w:val="left" w:pos="709"/>
          <w:tab w:val="left" w:pos="1134"/>
        </w:tabs>
        <w:spacing w:line="276" w:lineRule="auto"/>
        <w:ind w:left="1134" w:hanging="425"/>
        <w:rPr>
          <w:rFonts w:eastAsia="SimSun" w:cstheme="minorHAnsi"/>
          <w:b/>
          <w:bCs/>
          <w:i/>
          <w:iCs/>
          <w:lang w:eastAsia="en-US"/>
        </w:rPr>
      </w:pPr>
      <w:r w:rsidRPr="00157C14">
        <w:rPr>
          <w:rFonts w:eastAsia="SimSun" w:cstheme="minorHAnsi"/>
          <w:b/>
          <w:bCs/>
          <w:i/>
          <w:iCs/>
          <w:lang w:eastAsia="en-US"/>
        </w:rPr>
        <w:t>„</w:t>
      </w:r>
      <w:r w:rsidR="00157C14" w:rsidRPr="00157C14">
        <w:rPr>
          <w:rFonts w:eastAsia="SimSun" w:cstheme="minorHAnsi"/>
          <w:b/>
          <w:bCs/>
          <w:i/>
          <w:iCs/>
          <w:lang w:eastAsia="en-US"/>
        </w:rPr>
        <w:t xml:space="preserve">1. </w:t>
      </w:r>
      <w:r w:rsidR="00157C14">
        <w:rPr>
          <w:rFonts w:eastAsia="SimSun" w:cstheme="minorHAnsi"/>
          <w:b/>
          <w:bCs/>
          <w:i/>
          <w:iCs/>
          <w:lang w:eastAsia="en-US"/>
        </w:rPr>
        <w:tab/>
      </w:r>
      <w:r w:rsidRPr="00157C14">
        <w:rPr>
          <w:rFonts w:eastAsia="SimSun" w:cstheme="minorHAnsi"/>
          <w:b/>
          <w:bCs/>
          <w:i/>
          <w:iCs/>
          <w:lang w:eastAsia="en-US"/>
        </w:rPr>
        <w:t xml:space="preserve">Wykonawca będzie związany ofertą przez okres 30 dni, tj. do dnia </w:t>
      </w:r>
      <w:r w:rsidR="00157C14" w:rsidRPr="00157C14">
        <w:rPr>
          <w:rFonts w:eastAsia="SimSun" w:cstheme="minorHAnsi"/>
          <w:b/>
          <w:bCs/>
          <w:i/>
          <w:iCs/>
          <w:lang w:eastAsia="en-US"/>
        </w:rPr>
        <w:t>0</w:t>
      </w:r>
      <w:r w:rsidR="00EB5683">
        <w:rPr>
          <w:rFonts w:eastAsia="SimSun" w:cstheme="minorHAnsi"/>
          <w:b/>
          <w:bCs/>
          <w:i/>
          <w:iCs/>
          <w:lang w:eastAsia="en-US"/>
        </w:rPr>
        <w:t>5</w:t>
      </w:r>
      <w:r w:rsidR="00157C14" w:rsidRPr="00157C14">
        <w:rPr>
          <w:rFonts w:eastAsia="SimSun" w:cstheme="minorHAnsi"/>
          <w:b/>
          <w:bCs/>
          <w:i/>
          <w:iCs/>
          <w:lang w:eastAsia="en-US"/>
        </w:rPr>
        <w:t>.01.2023</w:t>
      </w:r>
      <w:r w:rsidRPr="00157C14">
        <w:rPr>
          <w:rFonts w:eastAsia="SimSun" w:cstheme="minorHAnsi"/>
          <w:b/>
          <w:bCs/>
          <w:i/>
          <w:iCs/>
          <w:lang w:eastAsia="en-US"/>
        </w:rPr>
        <w:t xml:space="preserve"> r., który liczony jest od dnia upływu terminu składania ofert”.</w:t>
      </w:r>
    </w:p>
    <w:p w14:paraId="2853051B" w14:textId="77777777" w:rsidR="00297CC5" w:rsidRPr="0060459C" w:rsidRDefault="00297CC5" w:rsidP="00297CC5">
      <w:pPr>
        <w:pStyle w:val="Akapitzlist"/>
        <w:numPr>
          <w:ilvl w:val="0"/>
          <w:numId w:val="14"/>
        </w:numPr>
        <w:spacing w:line="276" w:lineRule="auto"/>
        <w:rPr>
          <w:rFonts w:eastAsia="SimSun" w:cstheme="minorHAnsi"/>
          <w:color w:val="00000A"/>
          <w:lang w:eastAsia="en-US"/>
        </w:rPr>
      </w:pPr>
      <w:r w:rsidRPr="0060459C">
        <w:rPr>
          <w:rFonts w:eastAsia="SimSun" w:cstheme="minorHAnsi"/>
          <w:color w:val="00000A"/>
          <w:lang w:eastAsia="en-US"/>
        </w:rPr>
        <w:t>miejsce i termin składania ofert – Rozdziału XV ust. 1, który otrzymuje następujące brzmienie:</w:t>
      </w:r>
    </w:p>
    <w:p w14:paraId="3739950A" w14:textId="4DF44BBC" w:rsidR="0060459C" w:rsidRPr="0060459C" w:rsidRDefault="0060459C" w:rsidP="00157C14">
      <w:pPr>
        <w:pStyle w:val="Akapitzlist"/>
        <w:spacing w:line="276" w:lineRule="auto"/>
        <w:ind w:left="1276" w:hanging="567"/>
        <w:rPr>
          <w:rFonts w:eastAsia="SimSun" w:cstheme="minorHAnsi"/>
          <w:b/>
          <w:bCs/>
          <w:i/>
          <w:iCs/>
          <w:color w:val="00000A"/>
          <w:lang w:eastAsia="en-US"/>
        </w:rPr>
      </w:pPr>
      <w:r w:rsidRPr="0060459C">
        <w:rPr>
          <w:rFonts w:eastAsia="SimSun" w:cstheme="minorHAnsi"/>
          <w:b/>
          <w:bCs/>
          <w:i/>
          <w:iCs/>
          <w:color w:val="00000A"/>
          <w:lang w:eastAsia="en-US"/>
        </w:rPr>
        <w:t>„1.</w:t>
      </w:r>
      <w:r w:rsidRPr="0060459C">
        <w:rPr>
          <w:rFonts w:eastAsia="SimSun" w:cstheme="minorHAnsi"/>
          <w:b/>
          <w:bCs/>
          <w:i/>
          <w:iCs/>
          <w:color w:val="00000A"/>
          <w:lang w:eastAsia="en-US"/>
        </w:rPr>
        <w:tab/>
        <w:t xml:space="preserve">Ofertę wraz z wymaganymi dokumentami należy złożyć na platformazakupowa.pl pod adresem: https://platformazakupowa.pl/pn/cuwkobylnica w myśl ustawy </w:t>
      </w:r>
      <w:proofErr w:type="spellStart"/>
      <w:r w:rsidRPr="0060459C">
        <w:rPr>
          <w:rFonts w:eastAsia="SimSun" w:cstheme="minorHAnsi"/>
          <w:b/>
          <w:bCs/>
          <w:i/>
          <w:iCs/>
          <w:color w:val="00000A"/>
          <w:lang w:eastAsia="en-US"/>
        </w:rPr>
        <w:t>Pzp</w:t>
      </w:r>
      <w:proofErr w:type="spellEnd"/>
      <w:r w:rsidRPr="0060459C">
        <w:rPr>
          <w:rFonts w:eastAsia="SimSun" w:cstheme="minorHAnsi"/>
          <w:b/>
          <w:bCs/>
          <w:i/>
          <w:iCs/>
          <w:color w:val="00000A"/>
          <w:lang w:eastAsia="en-US"/>
        </w:rPr>
        <w:t xml:space="preserve"> na stronie internetowej prowadzonego postępowania do dnia 07.12.2022 r. do godziny 8:00.”</w:t>
      </w:r>
    </w:p>
    <w:p w14:paraId="1804E530" w14:textId="77777777" w:rsidR="0060459C" w:rsidRDefault="0060459C" w:rsidP="0060459C">
      <w:pPr>
        <w:pStyle w:val="Akapitzlist"/>
        <w:spacing w:line="276" w:lineRule="auto"/>
        <w:rPr>
          <w:rFonts w:eastAsia="SimSun" w:cstheme="minorHAnsi"/>
          <w:b/>
          <w:bCs/>
          <w:color w:val="00000A"/>
          <w:lang w:eastAsia="en-US"/>
        </w:rPr>
      </w:pPr>
    </w:p>
    <w:p w14:paraId="206078E7" w14:textId="37176831" w:rsidR="00297CC5" w:rsidRPr="0060459C" w:rsidRDefault="00297CC5" w:rsidP="0060459C">
      <w:pPr>
        <w:pStyle w:val="Akapitzlist"/>
        <w:numPr>
          <w:ilvl w:val="0"/>
          <w:numId w:val="14"/>
        </w:numPr>
        <w:spacing w:line="276" w:lineRule="auto"/>
        <w:rPr>
          <w:rFonts w:eastAsia="SimSun" w:cstheme="minorHAnsi"/>
          <w:color w:val="00000A"/>
          <w:lang w:eastAsia="en-US"/>
        </w:rPr>
      </w:pPr>
      <w:r w:rsidRPr="0060459C">
        <w:rPr>
          <w:rFonts w:eastAsia="SimSun" w:cstheme="minorHAnsi"/>
          <w:color w:val="00000A"/>
          <w:lang w:eastAsia="en-US"/>
        </w:rPr>
        <w:t xml:space="preserve">otwarcia ofert – Rozdziału XVI ust.1, który otrzymuje następujące brzmienie: </w:t>
      </w:r>
    </w:p>
    <w:p w14:paraId="189498A7" w14:textId="17732CD0" w:rsidR="0060459C" w:rsidRPr="0060459C" w:rsidRDefault="0060459C" w:rsidP="00157C14">
      <w:pPr>
        <w:tabs>
          <w:tab w:val="left" w:pos="1134"/>
        </w:tabs>
        <w:spacing w:line="240" w:lineRule="auto"/>
        <w:ind w:left="1134" w:hanging="437"/>
        <w:jc w:val="both"/>
        <w:rPr>
          <w:b/>
          <w:bCs/>
          <w:i/>
          <w:iCs/>
        </w:rPr>
      </w:pPr>
      <w:r w:rsidRPr="0060459C">
        <w:rPr>
          <w:b/>
          <w:bCs/>
          <w:i/>
          <w:iCs/>
        </w:rPr>
        <w:t>„1.</w:t>
      </w:r>
      <w:r w:rsidRPr="0060459C">
        <w:rPr>
          <w:b/>
          <w:bCs/>
          <w:i/>
          <w:iCs/>
        </w:rPr>
        <w:tab/>
        <w:t xml:space="preserve">Otwarcie ofert następuje niezwłocznie po upływie terminu składania ofert, nie później niż następnego dnia po dniu, w którym upłynął termin składania ofert </w:t>
      </w:r>
      <w:r w:rsidRPr="0060459C">
        <w:rPr>
          <w:b/>
          <w:bCs/>
          <w:i/>
          <w:iCs/>
        </w:rPr>
        <w:br/>
        <w:t>tj. w dniu 07.12.2022 r. o godz. 08:05.”</w:t>
      </w:r>
    </w:p>
    <w:p w14:paraId="33702C0A" w14:textId="1EB4A1A9" w:rsidR="006B40FA" w:rsidRPr="0060459C" w:rsidRDefault="006B40FA" w:rsidP="006B40FA">
      <w:pPr>
        <w:spacing w:line="276" w:lineRule="auto"/>
        <w:rPr>
          <w:rFonts w:cstheme="minorHAnsi"/>
        </w:rPr>
      </w:pPr>
      <w:r w:rsidRPr="0060459C">
        <w:rPr>
          <w:rFonts w:cstheme="minorHAnsi"/>
        </w:rPr>
        <w:t>Pozostałe zapisy SWZ</w:t>
      </w:r>
      <w:r w:rsidR="002544E5" w:rsidRPr="0060459C">
        <w:rPr>
          <w:rFonts w:cstheme="minorHAnsi"/>
        </w:rPr>
        <w:t>, umowy</w:t>
      </w:r>
      <w:r w:rsidR="001253D8" w:rsidRPr="0060459C">
        <w:rPr>
          <w:rFonts w:cstheme="minorHAnsi"/>
        </w:rPr>
        <w:t xml:space="preserve"> </w:t>
      </w:r>
      <w:r w:rsidR="00C81B08" w:rsidRPr="0060459C">
        <w:rPr>
          <w:rFonts w:cstheme="minorHAnsi"/>
        </w:rPr>
        <w:t>oraz</w:t>
      </w:r>
      <w:r w:rsidRPr="0060459C">
        <w:rPr>
          <w:rFonts w:cstheme="minorHAnsi"/>
        </w:rPr>
        <w:t xml:space="preserve"> ogłoszeni</w:t>
      </w:r>
      <w:r w:rsidR="00297CC5" w:rsidRPr="0060459C">
        <w:rPr>
          <w:rFonts w:cstheme="minorHAnsi"/>
        </w:rPr>
        <w:t>a</w:t>
      </w:r>
      <w:r w:rsidRPr="0060459C">
        <w:rPr>
          <w:rFonts w:cstheme="minorHAnsi"/>
        </w:rPr>
        <w:t xml:space="preserve"> o zamówieniu pozostają bez zmian.</w:t>
      </w:r>
    </w:p>
    <w:p w14:paraId="1F6B2C32" w14:textId="6E8278DA" w:rsidR="00C519A7" w:rsidRPr="0060459C" w:rsidRDefault="006B40FA" w:rsidP="006B40FA">
      <w:pPr>
        <w:spacing w:line="276" w:lineRule="auto"/>
        <w:rPr>
          <w:rFonts w:cstheme="minorHAnsi"/>
        </w:rPr>
      </w:pPr>
      <w:r w:rsidRPr="0060459C">
        <w:rPr>
          <w:rFonts w:cstheme="minorHAnsi"/>
        </w:rPr>
        <w:t>Zgodnie z art. 28</w:t>
      </w:r>
      <w:r w:rsidR="003A1B1D" w:rsidRPr="0060459C">
        <w:rPr>
          <w:rFonts w:cstheme="minorHAnsi"/>
        </w:rPr>
        <w:t>4</w:t>
      </w:r>
      <w:r w:rsidRPr="0060459C">
        <w:rPr>
          <w:rFonts w:cstheme="minorHAnsi"/>
        </w:rPr>
        <w:t xml:space="preserve"> ust. </w:t>
      </w:r>
      <w:r w:rsidR="003A1B1D" w:rsidRPr="0060459C">
        <w:rPr>
          <w:rFonts w:cstheme="minorHAnsi"/>
        </w:rPr>
        <w:t>6</w:t>
      </w:r>
      <w:r w:rsidRPr="0060459C">
        <w:rPr>
          <w:rFonts w:cstheme="minorHAnsi"/>
        </w:rPr>
        <w:t xml:space="preserve"> </w:t>
      </w:r>
      <w:proofErr w:type="spellStart"/>
      <w:r w:rsidRPr="0060459C">
        <w:rPr>
          <w:rFonts w:cstheme="minorHAnsi"/>
        </w:rPr>
        <w:t>Pzp</w:t>
      </w:r>
      <w:proofErr w:type="spellEnd"/>
      <w:r w:rsidR="003A1B1D" w:rsidRPr="0060459C">
        <w:rPr>
          <w:rFonts w:cstheme="minorHAnsi"/>
        </w:rPr>
        <w:t>,</w:t>
      </w:r>
      <w:r w:rsidRPr="0060459C">
        <w:rPr>
          <w:rFonts w:cstheme="minorHAnsi"/>
        </w:rPr>
        <w:t xml:space="preserve"> </w:t>
      </w:r>
      <w:r w:rsidR="003A1B1D" w:rsidRPr="0060459C">
        <w:rPr>
          <w:rFonts w:cstheme="minorHAnsi"/>
        </w:rPr>
        <w:t xml:space="preserve">treść zapytań wraz z wyjaśnieniami </w:t>
      </w:r>
      <w:r w:rsidRPr="0060459C">
        <w:rPr>
          <w:rFonts w:cstheme="minorHAnsi"/>
        </w:rPr>
        <w:t>Zamawiający udostępnia na</w:t>
      </w:r>
      <w:r w:rsidR="00DA1F8F" w:rsidRPr="0060459C">
        <w:rPr>
          <w:rFonts w:cstheme="minorHAnsi"/>
        </w:rPr>
        <w:t> </w:t>
      </w:r>
      <w:r w:rsidRPr="0060459C">
        <w:rPr>
          <w:rFonts w:cstheme="minorHAnsi"/>
        </w:rPr>
        <w:t>stronie internetowej prowadzonego postępowania.</w:t>
      </w:r>
    </w:p>
    <w:p w14:paraId="752D085B" w14:textId="5DBC6E75" w:rsidR="006B70C6" w:rsidRPr="0060459C" w:rsidRDefault="00C52320" w:rsidP="00C52320">
      <w:pPr>
        <w:pStyle w:val="Domylnie"/>
        <w:spacing w:after="0" w:line="276" w:lineRule="auto"/>
        <w:rPr>
          <w:rFonts w:asciiTheme="minorHAnsi" w:hAnsiTheme="minorHAnsi" w:cstheme="minorHAnsi"/>
        </w:rPr>
      </w:pPr>
      <w:r w:rsidRPr="0060459C">
        <w:rPr>
          <w:rFonts w:asciiTheme="minorHAnsi" w:hAnsiTheme="minorHAnsi" w:cstheme="minorHAnsi"/>
        </w:rPr>
        <w:t xml:space="preserve">Powyższe wyjaśnienia </w:t>
      </w:r>
      <w:r w:rsidR="009E3B82" w:rsidRPr="0060459C">
        <w:rPr>
          <w:rFonts w:asciiTheme="minorHAnsi" w:hAnsiTheme="minorHAnsi" w:cstheme="minorHAnsi"/>
        </w:rPr>
        <w:t xml:space="preserve">i zmiany </w:t>
      </w:r>
      <w:r w:rsidRPr="0060459C">
        <w:rPr>
          <w:rFonts w:asciiTheme="minorHAnsi" w:hAnsiTheme="minorHAnsi" w:cstheme="minorHAnsi"/>
        </w:rPr>
        <w:t>wprowadzone niniejszym pismem</w:t>
      </w:r>
      <w:r w:rsidR="0060459C">
        <w:rPr>
          <w:rFonts w:asciiTheme="minorHAnsi" w:hAnsiTheme="minorHAnsi" w:cstheme="minorHAnsi"/>
        </w:rPr>
        <w:t xml:space="preserve"> wraz z załącznikami</w:t>
      </w:r>
      <w:r w:rsidR="00EF074E" w:rsidRPr="0060459C">
        <w:rPr>
          <w:rFonts w:asciiTheme="minorHAnsi" w:hAnsiTheme="minorHAnsi" w:cstheme="minorHAnsi"/>
        </w:rPr>
        <w:t>,</w:t>
      </w:r>
      <w:r w:rsidRPr="0060459C">
        <w:rPr>
          <w:rFonts w:asciiTheme="minorHAnsi" w:hAnsiTheme="minorHAnsi" w:cstheme="minorHAnsi"/>
        </w:rPr>
        <w:t xml:space="preserve"> stanowią integralną część SWZ i są wiążące dla wszystkich Wykonawców ubiegających się o zamówienie publiczne.</w:t>
      </w:r>
      <w:r w:rsidR="00F40EB2" w:rsidRPr="0060459C">
        <w:rPr>
          <w:rFonts w:asciiTheme="minorHAnsi" w:hAnsiTheme="minorHAnsi" w:cstheme="minorHAnsi"/>
          <w:b/>
        </w:rPr>
        <w:br/>
      </w:r>
      <w:r w:rsidR="006B70C6" w:rsidRPr="0060459C">
        <w:rPr>
          <w:rFonts w:asciiTheme="minorHAnsi" w:hAnsiTheme="minorHAnsi" w:cstheme="minorHAnsi"/>
        </w:rPr>
        <w:t>Załączni</w:t>
      </w:r>
      <w:r w:rsidR="00341AEE" w:rsidRPr="0060459C">
        <w:rPr>
          <w:rFonts w:asciiTheme="minorHAnsi" w:hAnsiTheme="minorHAnsi" w:cstheme="minorHAnsi"/>
        </w:rPr>
        <w:t>k</w:t>
      </w:r>
      <w:r w:rsidR="0060459C">
        <w:rPr>
          <w:rFonts w:asciiTheme="minorHAnsi" w:hAnsiTheme="minorHAnsi" w:cstheme="minorHAnsi"/>
        </w:rPr>
        <w:t>i</w:t>
      </w:r>
      <w:r w:rsidR="006B70C6" w:rsidRPr="0060459C">
        <w:rPr>
          <w:rFonts w:asciiTheme="minorHAnsi" w:hAnsiTheme="minorHAnsi" w:cstheme="minorHAnsi"/>
        </w:rPr>
        <w:t>:</w:t>
      </w:r>
    </w:p>
    <w:p w14:paraId="084AE476" w14:textId="3ED7B525" w:rsidR="00522C7E" w:rsidRDefault="00522C7E" w:rsidP="0060459C">
      <w:pPr>
        <w:pStyle w:val="Domylnie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</w:t>
      </w:r>
      <w:r w:rsidR="005201AA">
        <w:rPr>
          <w:rFonts w:asciiTheme="minorHAnsi" w:hAnsiTheme="minorHAnsi" w:cstheme="minorHAnsi"/>
        </w:rPr>
        <w:t>a i 1 b</w:t>
      </w:r>
      <w:r>
        <w:rPr>
          <w:rFonts w:asciiTheme="minorHAnsi" w:hAnsiTheme="minorHAnsi" w:cstheme="minorHAnsi"/>
        </w:rPr>
        <w:t xml:space="preserve"> –</w:t>
      </w:r>
      <w:r w:rsidRPr="006045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aktualne przedmiary robót,</w:t>
      </w:r>
    </w:p>
    <w:p w14:paraId="739223AE" w14:textId="4E4C2CE0" w:rsidR="00522C7E" w:rsidRDefault="00522C7E" w:rsidP="0060459C">
      <w:pPr>
        <w:pStyle w:val="Domylnie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– aktualny formularz oferty,</w:t>
      </w:r>
    </w:p>
    <w:p w14:paraId="0063A25F" w14:textId="59674F0F" w:rsidR="0060459C" w:rsidRPr="0060459C" w:rsidRDefault="00522C7E" w:rsidP="0060459C">
      <w:pPr>
        <w:pStyle w:val="Domylnie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</w:t>
      </w:r>
      <w:r w:rsidR="0060459C">
        <w:rPr>
          <w:rFonts w:asciiTheme="minorHAnsi" w:hAnsiTheme="minorHAnsi" w:cstheme="minorHAnsi"/>
        </w:rPr>
        <w:t xml:space="preserve">ałącznik nr </w:t>
      </w:r>
      <w:r>
        <w:rPr>
          <w:rFonts w:asciiTheme="minorHAnsi" w:hAnsiTheme="minorHAnsi" w:cstheme="minorHAnsi"/>
        </w:rPr>
        <w:t>3</w:t>
      </w:r>
      <w:r w:rsidR="0060459C">
        <w:rPr>
          <w:rFonts w:asciiTheme="minorHAnsi" w:hAnsiTheme="minorHAnsi" w:cstheme="minorHAnsi"/>
        </w:rPr>
        <w:t xml:space="preserve"> </w:t>
      </w:r>
      <w:r w:rsidR="00231D92">
        <w:rPr>
          <w:rFonts w:asciiTheme="minorHAnsi" w:hAnsiTheme="minorHAnsi" w:cstheme="minorHAnsi"/>
        </w:rPr>
        <w:t xml:space="preserve">– </w:t>
      </w:r>
      <w:r w:rsidR="0060459C" w:rsidRPr="006045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aktualny </w:t>
      </w:r>
      <w:r w:rsidRPr="0060459C">
        <w:rPr>
          <w:rFonts w:asciiTheme="minorHAnsi" w:hAnsiTheme="minorHAnsi" w:cstheme="minorHAnsi"/>
        </w:rPr>
        <w:t xml:space="preserve">projekt </w:t>
      </w:r>
      <w:r w:rsidR="0060459C">
        <w:rPr>
          <w:rFonts w:asciiTheme="minorHAnsi" w:hAnsiTheme="minorHAnsi" w:cstheme="minorHAnsi"/>
        </w:rPr>
        <w:t>u</w:t>
      </w:r>
      <w:r w:rsidR="0060459C" w:rsidRPr="0060459C">
        <w:rPr>
          <w:rFonts w:asciiTheme="minorHAnsi" w:hAnsiTheme="minorHAnsi" w:cstheme="minorHAnsi"/>
        </w:rPr>
        <w:t>mow</w:t>
      </w:r>
      <w:r>
        <w:rPr>
          <w:rFonts w:asciiTheme="minorHAnsi" w:hAnsiTheme="minorHAnsi" w:cstheme="minorHAnsi"/>
        </w:rPr>
        <w:t>y,</w:t>
      </w:r>
      <w:r w:rsidR="0060459C" w:rsidRPr="0060459C">
        <w:rPr>
          <w:rFonts w:asciiTheme="minorHAnsi" w:hAnsiTheme="minorHAnsi" w:cstheme="minorHAnsi"/>
        </w:rPr>
        <w:t xml:space="preserve"> </w:t>
      </w:r>
    </w:p>
    <w:p w14:paraId="563969BB" w14:textId="14C2CFAE" w:rsidR="00297CC5" w:rsidRPr="005201AA" w:rsidRDefault="0060459C" w:rsidP="00341AEE">
      <w:pPr>
        <w:pStyle w:val="Domylnie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color w:val="auto"/>
        </w:rPr>
      </w:pPr>
      <w:r w:rsidRPr="005201AA">
        <w:rPr>
          <w:rFonts w:asciiTheme="minorHAnsi" w:hAnsiTheme="minorHAnsi" w:cstheme="minorHAnsi"/>
          <w:color w:val="auto"/>
        </w:rPr>
        <w:t xml:space="preserve">załącznik nr </w:t>
      </w:r>
      <w:r w:rsidR="00522C7E" w:rsidRPr="005201AA">
        <w:rPr>
          <w:rFonts w:asciiTheme="minorHAnsi" w:hAnsiTheme="minorHAnsi" w:cstheme="minorHAnsi"/>
          <w:color w:val="auto"/>
        </w:rPr>
        <w:t>4</w:t>
      </w:r>
      <w:r w:rsidRPr="005201AA">
        <w:rPr>
          <w:rFonts w:asciiTheme="minorHAnsi" w:hAnsiTheme="minorHAnsi" w:cstheme="minorHAnsi"/>
          <w:color w:val="auto"/>
        </w:rPr>
        <w:t xml:space="preserve"> </w:t>
      </w:r>
      <w:r w:rsidR="00231D92">
        <w:rPr>
          <w:rFonts w:asciiTheme="minorHAnsi" w:hAnsiTheme="minorHAnsi" w:cstheme="minorHAnsi"/>
        </w:rPr>
        <w:t xml:space="preserve">– </w:t>
      </w:r>
      <w:r w:rsidR="00522C7E" w:rsidRPr="005201AA">
        <w:rPr>
          <w:rFonts w:asciiTheme="minorHAnsi" w:hAnsiTheme="minorHAnsi" w:cstheme="minorHAnsi"/>
          <w:color w:val="auto"/>
        </w:rPr>
        <w:t>o</w:t>
      </w:r>
      <w:r w:rsidR="00297CC5" w:rsidRPr="005201AA">
        <w:rPr>
          <w:rFonts w:asciiTheme="minorHAnsi" w:hAnsiTheme="minorHAnsi" w:cstheme="minorHAnsi"/>
          <w:color w:val="auto"/>
        </w:rPr>
        <w:t>głoszenie o zmianie ogłoszenia</w:t>
      </w:r>
      <w:r w:rsidR="00522C7E" w:rsidRPr="005201AA">
        <w:rPr>
          <w:rFonts w:asciiTheme="minorHAnsi" w:hAnsiTheme="minorHAnsi" w:cstheme="minorHAnsi"/>
          <w:color w:val="auto"/>
        </w:rPr>
        <w:t>,</w:t>
      </w:r>
    </w:p>
    <w:p w14:paraId="38AAF159" w14:textId="23B48361" w:rsidR="00297CC5" w:rsidRDefault="0060459C" w:rsidP="00341AEE">
      <w:pPr>
        <w:pStyle w:val="Domylnie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522C7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</w:t>
      </w:r>
      <w:r w:rsidR="00231D92">
        <w:rPr>
          <w:rFonts w:asciiTheme="minorHAnsi" w:hAnsiTheme="minorHAnsi" w:cstheme="minorHAnsi"/>
        </w:rPr>
        <w:t>–</w:t>
      </w:r>
      <w:r w:rsidRPr="0060459C">
        <w:rPr>
          <w:rFonts w:asciiTheme="minorHAnsi" w:hAnsiTheme="minorHAnsi" w:cstheme="minorHAnsi"/>
        </w:rPr>
        <w:t xml:space="preserve"> </w:t>
      </w:r>
      <w:r w:rsidR="00297CC5" w:rsidRPr="0060459C">
        <w:rPr>
          <w:rFonts w:asciiTheme="minorHAnsi" w:hAnsiTheme="minorHAnsi" w:cstheme="minorHAnsi"/>
        </w:rPr>
        <w:t>SWZ po zmianach</w:t>
      </w:r>
      <w:r w:rsidR="00522C7E">
        <w:rPr>
          <w:rFonts w:asciiTheme="minorHAnsi" w:hAnsiTheme="minorHAnsi" w:cstheme="minorHAnsi"/>
        </w:rPr>
        <w:t>.</w:t>
      </w:r>
    </w:p>
    <w:p w14:paraId="57CC613A" w14:textId="77777777" w:rsidR="00522C7E" w:rsidRPr="0060459C" w:rsidRDefault="00522C7E" w:rsidP="00522C7E">
      <w:pPr>
        <w:pStyle w:val="Domylnie"/>
        <w:spacing w:after="0" w:line="276" w:lineRule="auto"/>
        <w:ind w:left="720"/>
        <w:rPr>
          <w:rFonts w:asciiTheme="minorHAnsi" w:hAnsiTheme="minorHAnsi" w:cstheme="minorHAnsi"/>
        </w:rPr>
      </w:pPr>
    </w:p>
    <w:sectPr w:rsidR="00522C7E" w:rsidRPr="0060459C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0D8A" w14:textId="77777777" w:rsidR="00FD34C7" w:rsidRPr="00FD34C7" w:rsidRDefault="00FD34C7" w:rsidP="00FD34C7">
    <w:pPr>
      <w:tabs>
        <w:tab w:val="left" w:pos="1073"/>
      </w:tabs>
      <w:spacing w:after="120" w:line="276" w:lineRule="auto"/>
      <w:jc w:val="both"/>
      <w:rPr>
        <w:rFonts w:ascii="Arial" w:eastAsia="Arial" w:hAnsi="Arial" w:cs="Arial"/>
        <w:sz w:val="20"/>
        <w:szCs w:val="20"/>
        <w:lang w:val="pl"/>
      </w:rPr>
    </w:pPr>
    <w:bookmarkStart w:id="3" w:name="_Hlk117505250"/>
    <w:bookmarkStart w:id="4" w:name="_Hlk117505251"/>
    <w:bookmarkStart w:id="5" w:name="_Hlk117505253"/>
    <w:bookmarkStart w:id="6" w:name="_Hlk117505254"/>
    <w:bookmarkStart w:id="7" w:name="_Hlk118641381"/>
    <w:bookmarkStart w:id="8" w:name="_Hlk118641382"/>
    <w:bookmarkStart w:id="9" w:name="_Hlk118641536"/>
    <w:bookmarkStart w:id="10" w:name="_Hlk118641537"/>
    <w:bookmarkStart w:id="11" w:name="_Hlk118641831"/>
    <w:bookmarkStart w:id="12" w:name="_Hlk118641832"/>
    <w:bookmarkStart w:id="13" w:name="_Hlk118641833"/>
    <w:bookmarkStart w:id="14" w:name="_Hlk118641834"/>
    <w:bookmarkStart w:id="15" w:name="_Hlk118641835"/>
    <w:bookmarkStart w:id="16" w:name="_Hlk118641836"/>
    <w:bookmarkStart w:id="17" w:name="_Hlk118641837"/>
    <w:bookmarkStart w:id="18" w:name="_Hlk118641838"/>
    <w:bookmarkStart w:id="19" w:name="_Hlk118641879"/>
    <w:bookmarkStart w:id="20" w:name="_Hlk118641880"/>
    <w:r w:rsidRPr="00FD34C7">
      <w:rPr>
        <w:rFonts w:ascii="Arial" w:eastAsia="Arial" w:hAnsi="Arial" w:cs="Arial"/>
        <w:sz w:val="20"/>
        <w:szCs w:val="20"/>
        <w:lang w:val="pl"/>
      </w:rPr>
      <w:t>ZP.271.3.2022</w:t>
    </w:r>
    <w:bookmarkEnd w:id="3"/>
    <w:bookmarkEnd w:id="4"/>
    <w:bookmarkEnd w:id="5"/>
    <w:bookmarkEnd w:id="6"/>
  </w:p>
  <w:p w14:paraId="51934266" w14:textId="77777777" w:rsidR="00FD34C7" w:rsidRPr="00FD34C7" w:rsidRDefault="00FD34C7" w:rsidP="00FD34C7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Arial" w:hAnsi="Arial" w:cs="Arial"/>
        <w:b/>
        <w:bCs/>
        <w:lang w:val="pl"/>
      </w:rPr>
    </w:pPr>
    <w:r w:rsidRPr="00FD34C7">
      <w:rPr>
        <w:rFonts w:ascii="Arial" w:eastAsia="Arial" w:hAnsi="Arial" w:cs="Arial"/>
        <w:b/>
        <w:bCs/>
        <w:noProof/>
        <w:lang w:val="pl"/>
      </w:rPr>
      <w:drawing>
        <wp:inline distT="0" distB="0" distL="0" distR="0" wp14:anchorId="2F25F8C0" wp14:editId="5EC4B33E">
          <wp:extent cx="1049655" cy="7029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34C7">
      <w:rPr>
        <w:rFonts w:ascii="Arial" w:eastAsia="Arial" w:hAnsi="Arial" w:cs="Arial"/>
        <w:b/>
        <w:bCs/>
        <w:lang w:val="pl"/>
      </w:rPr>
      <w:t xml:space="preserve">                                 </w:t>
    </w:r>
    <w:r w:rsidRPr="00FD34C7">
      <w:rPr>
        <w:rFonts w:ascii="Arial" w:eastAsia="Arial" w:hAnsi="Arial" w:cs="Arial"/>
        <w:b/>
        <w:bCs/>
        <w:noProof/>
        <w:lang w:val="pl"/>
      </w:rPr>
      <w:drawing>
        <wp:inline distT="0" distB="0" distL="0" distR="0" wp14:anchorId="3B1D3507" wp14:editId="6A882FC6">
          <wp:extent cx="753745" cy="736600"/>
          <wp:effectExtent l="0" t="0" r="825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34C7">
      <w:rPr>
        <w:rFonts w:ascii="Arial" w:eastAsia="Arial" w:hAnsi="Arial" w:cs="Arial"/>
        <w:b/>
        <w:bCs/>
        <w:lang w:val="pl"/>
      </w:rPr>
      <w:t xml:space="preserve">                                     </w:t>
    </w:r>
    <w:r w:rsidRPr="00FD34C7">
      <w:rPr>
        <w:rFonts w:ascii="Arial" w:eastAsia="Arial" w:hAnsi="Arial" w:cs="Arial"/>
        <w:b/>
        <w:bCs/>
        <w:noProof/>
        <w:lang w:val="pl"/>
      </w:rPr>
      <w:drawing>
        <wp:inline distT="0" distB="0" distL="0" distR="0" wp14:anchorId="059D9DCB" wp14:editId="0ABB2694">
          <wp:extent cx="1100455" cy="71120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6716AD" w14:textId="77777777" w:rsidR="00FD34C7" w:rsidRPr="00FD34C7" w:rsidRDefault="00FD34C7" w:rsidP="00FD34C7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Arial" w:hAnsi="Arial" w:cs="Arial"/>
        <w:b/>
        <w:bCs/>
        <w:lang w:val="pl"/>
      </w:rPr>
    </w:pPr>
  </w:p>
  <w:p w14:paraId="22DDB999" w14:textId="77777777" w:rsidR="00FD34C7" w:rsidRPr="00FD34C7" w:rsidRDefault="00FD34C7" w:rsidP="00FD34C7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Arial" w:eastAsia="Arial" w:hAnsi="Arial" w:cs="Arial"/>
        <w:b/>
        <w:bCs/>
        <w:lang w:val="pl"/>
      </w:rPr>
    </w:pPr>
    <w:r w:rsidRPr="00FD34C7">
      <w:rPr>
        <w:rFonts w:ascii="Arial" w:eastAsia="Arial" w:hAnsi="Arial" w:cs="Arial"/>
        <w:b/>
        <w:bCs/>
        <w:lang w:val="pl"/>
      </w:rPr>
      <w:t>„Europejski Fundusz Rolny na rzecz Rozwoju Obszarów Wiejskich: Europa inwestująca w obszary wiejskie”</w:t>
    </w:r>
  </w:p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14:paraId="4804A226" w14:textId="02B478CD" w:rsidR="00C52320" w:rsidRPr="00FD34C7" w:rsidRDefault="00C52320" w:rsidP="00FD3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E75332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3082F"/>
    <w:multiLevelType w:val="hybridMultilevel"/>
    <w:tmpl w:val="1C289C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40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2256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F582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0A5953"/>
    <w:multiLevelType w:val="hybridMultilevel"/>
    <w:tmpl w:val="B47E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91C93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5355F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74E0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CE29D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861250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61EB0"/>
    <w:multiLevelType w:val="hybridMultilevel"/>
    <w:tmpl w:val="E6F49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E6A3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031DF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825B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03F4C3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9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BC5B1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E105F"/>
    <w:multiLevelType w:val="hybridMultilevel"/>
    <w:tmpl w:val="53D43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273F1C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5595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29"/>
  </w:num>
  <w:num w:numId="3" w16cid:durableId="837692243">
    <w:abstractNumId w:val="15"/>
  </w:num>
  <w:num w:numId="4" w16cid:durableId="721952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11"/>
  </w:num>
  <w:num w:numId="7" w16cid:durableId="649097808">
    <w:abstractNumId w:val="27"/>
  </w:num>
  <w:num w:numId="8" w16cid:durableId="435372972">
    <w:abstractNumId w:val="26"/>
  </w:num>
  <w:num w:numId="9" w16cid:durableId="2015568656">
    <w:abstractNumId w:val="24"/>
  </w:num>
  <w:num w:numId="10" w16cid:durableId="1546334756">
    <w:abstractNumId w:val="5"/>
  </w:num>
  <w:num w:numId="11" w16cid:durableId="1975676445">
    <w:abstractNumId w:val="25"/>
  </w:num>
  <w:num w:numId="12" w16cid:durableId="1591163846">
    <w:abstractNumId w:val="9"/>
  </w:num>
  <w:num w:numId="13" w16cid:durableId="2038463304">
    <w:abstractNumId w:val="20"/>
  </w:num>
  <w:num w:numId="14" w16cid:durableId="1685739791">
    <w:abstractNumId w:val="17"/>
  </w:num>
  <w:num w:numId="15" w16cid:durableId="1725520164">
    <w:abstractNumId w:val="32"/>
  </w:num>
  <w:num w:numId="16" w16cid:durableId="2019307798">
    <w:abstractNumId w:val="1"/>
  </w:num>
  <w:num w:numId="17" w16cid:durableId="2023429962">
    <w:abstractNumId w:val="21"/>
  </w:num>
  <w:num w:numId="18" w16cid:durableId="1230535448">
    <w:abstractNumId w:val="30"/>
  </w:num>
  <w:num w:numId="19" w16cid:durableId="1185482576">
    <w:abstractNumId w:val="6"/>
  </w:num>
  <w:num w:numId="20" w16cid:durableId="665978366">
    <w:abstractNumId w:val="13"/>
  </w:num>
  <w:num w:numId="21" w16cid:durableId="403335471">
    <w:abstractNumId w:val="23"/>
  </w:num>
  <w:num w:numId="22" w16cid:durableId="556089073">
    <w:abstractNumId w:val="16"/>
  </w:num>
  <w:num w:numId="23" w16cid:durableId="2028940901">
    <w:abstractNumId w:val="10"/>
  </w:num>
  <w:num w:numId="24" w16cid:durableId="1590234252">
    <w:abstractNumId w:val="4"/>
  </w:num>
  <w:num w:numId="25" w16cid:durableId="1227960879">
    <w:abstractNumId w:val="34"/>
  </w:num>
  <w:num w:numId="26" w16cid:durableId="2142577716">
    <w:abstractNumId w:val="14"/>
  </w:num>
  <w:num w:numId="27" w16cid:durableId="635910609">
    <w:abstractNumId w:val="18"/>
  </w:num>
  <w:num w:numId="28" w16cid:durableId="736363905">
    <w:abstractNumId w:val="7"/>
  </w:num>
  <w:num w:numId="29" w16cid:durableId="1552037363">
    <w:abstractNumId w:val="19"/>
  </w:num>
  <w:num w:numId="30" w16cid:durableId="1024524617">
    <w:abstractNumId w:val="12"/>
  </w:num>
  <w:num w:numId="31" w16cid:durableId="2139375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4343028">
    <w:abstractNumId w:val="31"/>
  </w:num>
  <w:num w:numId="33" w16cid:durableId="641278112">
    <w:abstractNumId w:val="0"/>
  </w:num>
  <w:num w:numId="34" w16cid:durableId="1992563589">
    <w:abstractNumId w:val="28"/>
  </w:num>
  <w:num w:numId="35" w16cid:durableId="1267301144">
    <w:abstractNumId w:val="2"/>
  </w:num>
  <w:num w:numId="36" w16cid:durableId="1891844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D4BE7"/>
    <w:rsid w:val="000D6F40"/>
    <w:rsid w:val="000F49B7"/>
    <w:rsid w:val="001213D7"/>
    <w:rsid w:val="001253D8"/>
    <w:rsid w:val="00136C6B"/>
    <w:rsid w:val="00157C14"/>
    <w:rsid w:val="00166BE4"/>
    <w:rsid w:val="00170E80"/>
    <w:rsid w:val="00174354"/>
    <w:rsid w:val="001749B6"/>
    <w:rsid w:val="0019798B"/>
    <w:rsid w:val="001A0507"/>
    <w:rsid w:val="001A7183"/>
    <w:rsid w:val="001C0849"/>
    <w:rsid w:val="001C34DD"/>
    <w:rsid w:val="001D471B"/>
    <w:rsid w:val="00231D92"/>
    <w:rsid w:val="0023435D"/>
    <w:rsid w:val="002544E5"/>
    <w:rsid w:val="00297CC5"/>
    <w:rsid w:val="002C3331"/>
    <w:rsid w:val="002D3892"/>
    <w:rsid w:val="00341AEE"/>
    <w:rsid w:val="0035262D"/>
    <w:rsid w:val="00352F01"/>
    <w:rsid w:val="003672E8"/>
    <w:rsid w:val="003A1B1D"/>
    <w:rsid w:val="003C3C4A"/>
    <w:rsid w:val="00432A84"/>
    <w:rsid w:val="00466821"/>
    <w:rsid w:val="004A657E"/>
    <w:rsid w:val="004D52F9"/>
    <w:rsid w:val="004D5F9B"/>
    <w:rsid w:val="004E23A2"/>
    <w:rsid w:val="004F7C9E"/>
    <w:rsid w:val="005201AA"/>
    <w:rsid w:val="00522C7E"/>
    <w:rsid w:val="00542A29"/>
    <w:rsid w:val="00567D47"/>
    <w:rsid w:val="00586815"/>
    <w:rsid w:val="005A194C"/>
    <w:rsid w:val="005A3230"/>
    <w:rsid w:val="005C588B"/>
    <w:rsid w:val="005F39F7"/>
    <w:rsid w:val="00600BF4"/>
    <w:rsid w:val="0060459C"/>
    <w:rsid w:val="00606103"/>
    <w:rsid w:val="006442D8"/>
    <w:rsid w:val="00670EF7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92BBA"/>
    <w:rsid w:val="007954FC"/>
    <w:rsid w:val="007A5A3E"/>
    <w:rsid w:val="007E649C"/>
    <w:rsid w:val="007F2C5D"/>
    <w:rsid w:val="00813FCF"/>
    <w:rsid w:val="008163F3"/>
    <w:rsid w:val="00851507"/>
    <w:rsid w:val="008B67CF"/>
    <w:rsid w:val="008C10B9"/>
    <w:rsid w:val="00910973"/>
    <w:rsid w:val="009737AA"/>
    <w:rsid w:val="009C21BA"/>
    <w:rsid w:val="009D09D3"/>
    <w:rsid w:val="009D5A2C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B01F95"/>
    <w:rsid w:val="00B21C4D"/>
    <w:rsid w:val="00B329CC"/>
    <w:rsid w:val="00B51964"/>
    <w:rsid w:val="00BA2EFA"/>
    <w:rsid w:val="00BB626E"/>
    <w:rsid w:val="00BC0C10"/>
    <w:rsid w:val="00BF137F"/>
    <w:rsid w:val="00BF20C8"/>
    <w:rsid w:val="00C16580"/>
    <w:rsid w:val="00C3072D"/>
    <w:rsid w:val="00C51077"/>
    <w:rsid w:val="00C519A7"/>
    <w:rsid w:val="00C52320"/>
    <w:rsid w:val="00C753A2"/>
    <w:rsid w:val="00C81B08"/>
    <w:rsid w:val="00C874C5"/>
    <w:rsid w:val="00CE2831"/>
    <w:rsid w:val="00CF6F3B"/>
    <w:rsid w:val="00D070E5"/>
    <w:rsid w:val="00DA1F8F"/>
    <w:rsid w:val="00DD3F54"/>
    <w:rsid w:val="00DE6BB3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5001A"/>
    <w:rsid w:val="00F8040E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uiPriority w:val="34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1781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8</cp:revision>
  <cp:lastPrinted>2022-09-16T08:29:00Z</cp:lastPrinted>
  <dcterms:created xsi:type="dcterms:W3CDTF">2022-11-30T12:08:00Z</dcterms:created>
  <dcterms:modified xsi:type="dcterms:W3CDTF">2022-12-01T12:29:00Z</dcterms:modified>
</cp:coreProperties>
</file>