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ind w:firstLine="708" w:left="7080"/>
        <w:jc w:val="both"/>
        <w:rPr>
          <w:b/>
          <w:sz w:val="24"/>
        </w:rPr>
      </w:pPr>
      <w:r>
        <w:rPr>
          <w:b/>
          <w:sz w:val="24"/>
        </w:rPr>
      </w:r>
    </w:p>
    <w:p>
      <w:pPr>
        <w:pStyle w:val="Normal"/>
        <w:jc w:val="both"/>
        <w:rPr>
          <w:b/>
          <w:sz w:val="24"/>
        </w:rPr>
      </w:pPr>
      <w:r>
        <w:rPr>
          <w:b/>
          <w:sz w:val="24"/>
        </w:rPr>
      </w:r>
    </w:p>
    <w:p>
      <w:pPr>
        <w:pStyle w:val="Normal"/>
        <w:jc w:val="both"/>
        <w:rPr>
          <w:b/>
          <w:sz w:val="24"/>
        </w:rPr>
      </w:pPr>
      <w:r>
        <w:rPr>
          <w:b/>
          <w:sz w:val="24"/>
        </w:rPr>
      </w:r>
    </w:p>
    <w:p>
      <w:pPr>
        <w:pStyle w:val="Normal"/>
        <w:ind w:left="7788"/>
        <w:jc w:val="both"/>
        <w:rPr>
          <w:b/>
          <w:sz w:val="24"/>
        </w:rPr>
      </w:pPr>
      <w:r>
        <w:rPr>
          <w:b/>
          <w:sz w:val="24"/>
        </w:rPr>
      </w:r>
    </w:p>
    <w:p>
      <w:pPr>
        <w:pStyle w:val="Normal"/>
        <w:jc w:val="both"/>
        <w:rPr>
          <w:b/>
          <w:sz w:val="24"/>
        </w:rPr>
      </w:pPr>
      <w:r>
        <w:rPr/>
        <w:t>/pieczęć Wykonawcy/</w:t>
        <w:tab/>
        <w:tab/>
        <w:tab/>
        <w:tab/>
        <w:tab/>
        <w:tab/>
        <w:tab/>
        <w:tab/>
        <w:tab/>
        <w:tab/>
        <w:t>/data/</w:t>
      </w:r>
    </w:p>
    <w:p>
      <w:pPr>
        <w:pStyle w:val="Normal"/>
        <w:jc w:val="center"/>
        <w:rPr>
          <w:b/>
          <w:sz w:val="24"/>
        </w:rPr>
      </w:pPr>
      <w:r>
        <w:rPr>
          <w:b/>
          <w:sz w:val="24"/>
        </w:rPr>
      </w:r>
    </w:p>
    <w:p>
      <w:pPr>
        <w:pStyle w:val="Normal"/>
        <w:jc w:val="center"/>
        <w:rPr>
          <w:b/>
          <w:sz w:val="24"/>
        </w:rPr>
      </w:pPr>
      <w:r>
        <w:rPr>
          <w:b/>
          <w:sz w:val="24"/>
        </w:rPr>
      </w:r>
    </w:p>
    <w:p>
      <w:pPr>
        <w:pStyle w:val="Normal"/>
        <w:jc w:val="center"/>
        <w:rPr>
          <w:b/>
          <w:sz w:val="28"/>
        </w:rPr>
      </w:pPr>
      <w:r>
        <w:rPr>
          <w:b/>
          <w:sz w:val="28"/>
        </w:rPr>
        <w:t>FORMULARZ CENOWY</w:t>
      </w:r>
    </w:p>
    <w:p>
      <w:pPr>
        <w:pStyle w:val="Normal"/>
        <w:jc w:val="center"/>
        <w:rPr>
          <w:b/>
          <w:sz w:val="28"/>
        </w:rPr>
      </w:pPr>
      <w:r>
        <w:rPr>
          <w:b/>
          <w:sz w:val="28"/>
        </w:rPr>
      </w:r>
    </w:p>
    <w:p>
      <w:pPr>
        <w:pStyle w:val="Normal"/>
        <w:spacing w:lineRule="auto" w:line="360"/>
        <w:jc w:val="center"/>
        <w:rPr/>
      </w:pPr>
      <w:r>
        <w:rPr>
          <w:rFonts w:cs="Times New Roman"/>
          <w:b/>
          <w:bCs/>
          <w:i/>
          <w:iCs/>
          <w:sz w:val="24"/>
          <w:szCs w:val="24"/>
          <w:shd w:fill="auto" w:val="clear"/>
          <w:lang w:eastAsia="ar-SA"/>
        </w:rPr>
        <w:t>„</w:t>
      </w:r>
      <w:r>
        <w:rPr>
          <w:rFonts w:cs="Times New Roman"/>
          <w:b/>
          <w:bCs/>
          <w:i/>
          <w:iCs/>
          <w:sz w:val="24"/>
          <w:szCs w:val="24"/>
          <w:shd w:fill="auto" w:val="clear"/>
          <w:lang w:eastAsia="ar-SA"/>
        </w:rPr>
        <w:t xml:space="preserve">Rozbudowa drogi powiatowej nr 1438G w miejscowości Bolszewo na odcinku długości </w:t>
        <w:br/>
        <w:t>ok. 1,1 km”</w:t>
      </w:r>
    </w:p>
    <w:p>
      <w:pPr>
        <w:pStyle w:val="Normal"/>
        <w:spacing w:lineRule="auto" w:line="36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tbl>
      <w:tblPr>
        <w:tblW w:w="9124" w:type="dxa"/>
        <w:jc w:val="left"/>
        <w:tblInd w:w="1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562"/>
        <w:gridCol w:w="4030"/>
        <w:gridCol w:w="1177"/>
        <w:gridCol w:w="1569"/>
        <w:gridCol w:w="1786"/>
      </w:tblGrid>
      <w:tr>
        <w:trPr/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0"/>
                <w:szCs w:val="28"/>
              </w:rPr>
            </w:pPr>
            <w:r>
              <w:rPr>
                <w:b/>
                <w:bCs/>
                <w:sz w:val="20"/>
                <w:szCs w:val="28"/>
              </w:rPr>
              <w:t>Lp.</w:t>
            </w:r>
          </w:p>
        </w:tc>
        <w:tc>
          <w:tcPr>
            <w:tcW w:w="4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4"/>
                <w:szCs w:val="28"/>
              </w:rPr>
            </w:pPr>
            <w:r>
              <w:rPr>
                <w:b/>
                <w:bCs/>
                <w:sz w:val="24"/>
                <w:szCs w:val="28"/>
              </w:rPr>
              <w:t>Wyszczególnienie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4"/>
                <w:szCs w:val="28"/>
              </w:rPr>
            </w:pPr>
            <w:r>
              <w:rPr>
                <w:b/>
                <w:bCs/>
                <w:sz w:val="24"/>
                <w:szCs w:val="28"/>
              </w:rPr>
              <w:t>Ilość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4"/>
                <w:szCs w:val="28"/>
              </w:rPr>
            </w:pPr>
            <w:r>
              <w:rPr>
                <w:b/>
                <w:bCs/>
                <w:sz w:val="24"/>
                <w:szCs w:val="28"/>
              </w:rPr>
              <w:t>Cena jedn.  netto (zł)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sz w:val="24"/>
                <w:szCs w:val="28"/>
              </w:rPr>
            </w:pPr>
            <w:r>
              <w:rPr>
                <w:b/>
                <w:bCs/>
                <w:sz w:val="24"/>
                <w:szCs w:val="28"/>
              </w:rPr>
              <w:t>Cena</w:t>
            </w:r>
          </w:p>
          <w:p>
            <w:pPr>
              <w:pStyle w:val="Normal"/>
              <w:jc w:val="center"/>
              <w:rPr>
                <w:sz w:val="24"/>
                <w:szCs w:val="28"/>
              </w:rPr>
            </w:pPr>
            <w:r>
              <w:rPr>
                <w:b/>
                <w:bCs/>
                <w:sz w:val="24"/>
                <w:szCs w:val="28"/>
              </w:rPr>
              <w:t>netto (zł)</w:t>
            </w:r>
          </w:p>
        </w:tc>
      </w:tr>
      <w:tr>
        <w:trPr/>
        <w:tc>
          <w:tcPr>
            <w:tcW w:w="91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Cs/>
                <w:sz w:val="24"/>
                <w:szCs w:val="20"/>
              </w:rPr>
            </w:pPr>
            <w:r>
              <w:rPr>
                <w:b/>
                <w:bCs/>
                <w:sz w:val="24"/>
                <w:szCs w:val="20"/>
              </w:rPr>
              <w:t>ETAP I</w:t>
            </w:r>
          </w:p>
        </w:tc>
      </w:tr>
      <w:tr>
        <w:trPr/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4"/>
                <w:szCs w:val="24"/>
              </w:rPr>
              <w:t>Wykonanie pomiarów ruchu oraz określenie kategorii ruchu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2 kpl.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4"/>
                <w:szCs w:val="24"/>
              </w:rPr>
              <w:t>Opracowanie wariantowej koncepcji projektowej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2 egz.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4"/>
                <w:szCs w:val="24"/>
              </w:rPr>
              <w:t>Uzyskanie aktualnej mapy do celów projektowych wraz z wykonaniem inwentaryzacji uzbrojenia podziemnego i naziemnego oraz zagospodarowania terenu – mapa w wersji numerycznej i graficznej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1 kpl.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4"/>
                <w:szCs w:val="24"/>
              </w:rPr>
              <w:t>Dokumentacja geologiczno-inżynierska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2 kpl.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4"/>
                <w:szCs w:val="24"/>
              </w:rPr>
              <w:t>Wykonanie inwentaryzacji nawierzchni, zjazdów, przepustów, ogrodzeń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2 kpl.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12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Cs/>
                <w:sz w:val="28"/>
                <w:szCs w:val="20"/>
              </w:rPr>
            </w:pPr>
            <w:r>
              <w:rPr>
                <w:b/>
                <w:bCs/>
                <w:sz w:val="28"/>
                <w:szCs w:val="20"/>
              </w:rPr>
              <w:t>ETAP II</w:t>
            </w:r>
          </w:p>
        </w:tc>
      </w:tr>
      <w:tr>
        <w:trPr/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4"/>
                <w:szCs w:val="24"/>
              </w:rPr>
              <w:t>Opracowanie karty informacyjnej przedsięwzięcia, przygotowanie i złożenie wniosku o wydanie decyzji o środowiskowych uwarunkowaniach realizacji przedsięwzięcia, uzyskanie decyzji środowiskowej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2 egz.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Opracowanie operatu wodnoprawnego i uzyskanie pozwolenia wodnoprawnego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egz.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4"/>
                <w:szCs w:val="24"/>
              </w:rPr>
              <w:t>Opracowanie wniosków i uzyskanie decyzji na zniszczenie siedlisk gatunków chronionych i na usunięcie drzew lub krzewów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2 kpl.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4"/>
                <w:szCs w:val="24"/>
              </w:rPr>
              <w:t>Projekt budowlany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5 egz.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85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4"/>
                <w:szCs w:val="24"/>
              </w:rPr>
              <w:t>Uzyskanie opinii i uzgodnień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1 kpl.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4"/>
                <w:szCs w:val="24"/>
              </w:rPr>
              <w:t>Projekt stałej organizacji ruchu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5 egz.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4"/>
                <w:szCs w:val="24"/>
              </w:rPr>
              <w:t>Opracowanie i złożenie kompletnego wniosku o wydanie decyzji ZRID z załącznikami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2 kpl.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4"/>
                <w:szCs w:val="24"/>
              </w:rPr>
              <w:t>Uzyskanie decyzji ZRID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2 kpl.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Projekt podziału nieruchomości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kpl.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18" w:hRule="atLeast"/>
        </w:trPr>
        <w:tc>
          <w:tcPr>
            <w:tcW w:w="912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Cs/>
                <w:sz w:val="28"/>
                <w:szCs w:val="20"/>
              </w:rPr>
            </w:pPr>
            <w:r>
              <w:rPr>
                <w:b/>
                <w:bCs/>
                <w:sz w:val="28"/>
                <w:szCs w:val="20"/>
              </w:rPr>
              <w:t>ETAP III</w:t>
            </w:r>
          </w:p>
        </w:tc>
      </w:tr>
      <w:tr>
        <w:trPr/>
        <w:tc>
          <w:tcPr>
            <w:tcW w:w="562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Projekt techniczny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egz.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4"/>
                <w:szCs w:val="24"/>
              </w:rPr>
              <w:t>Szczegółowe specyfikacje techniczne wykonania i odbioru robót budowlanych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5 egz.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4"/>
                <w:szCs w:val="24"/>
              </w:rPr>
              <w:t>Przedmiar robót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2 egz.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4"/>
                <w:szCs w:val="24"/>
              </w:rPr>
              <w:t>Kosztorys ofertowy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2 egz.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4"/>
                <w:szCs w:val="24"/>
              </w:rPr>
              <w:t>Kosztorys inwestorski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2 egz.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4"/>
                <w:szCs w:val="24"/>
              </w:rPr>
              <w:t>Całość dokumentacji w postaci elektronicznej na</w:t>
            </w:r>
            <w:r>
              <w:rPr>
                <w:sz w:val="24"/>
                <w:szCs w:val="24"/>
                <w:shd w:fill="auto" w:val="clear"/>
              </w:rPr>
              <w:t xml:space="preserve"> CD-ROM/DVD </w:t>
            </w:r>
            <w:r>
              <w:rPr>
                <w:sz w:val="24"/>
                <w:szCs w:val="24"/>
              </w:rPr>
              <w:t>w formatach edytowalnych i jako skany dokumentacji w formie papierowej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2 egz.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sz w:val="24"/>
                <w:szCs w:val="24"/>
              </w:rPr>
              <w:t>Stabilizacja wszystkich podziałów działek znakami granicznymi w terenie wraz z projektem podziału nieruchomości zatwierdzonym decyzją ZRID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4"/>
                <w:szCs w:val="24"/>
              </w:rPr>
              <w:t>12 działek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403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Szczegółowa inwentaryzacja nieruchomości przejmowanych na rzecz powiatu</w:t>
            </w:r>
          </w:p>
        </w:tc>
        <w:tc>
          <w:tcPr>
            <w:tcW w:w="11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kpl.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>
                <w:sz w:val="24"/>
                <w:szCs w:val="24"/>
              </w:rPr>
              <w:t>---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3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bCs/>
                <w:sz w:val="24"/>
                <w:szCs w:val="24"/>
              </w:rPr>
              <w:t>Razem netto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33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55" w:type="dxa"/>
              <w:bottom w:w="55" w:type="dxa"/>
            </w:tcMar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bCs/>
                <w:sz w:val="24"/>
                <w:szCs w:val="24"/>
              </w:rPr>
              <w:t>VAT 23%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733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  <w:bCs/>
                <w:sz w:val="24"/>
                <w:szCs w:val="24"/>
              </w:rPr>
              <w:t>Razem brutto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jc w:val="both"/>
        <w:rPr>
          <w:b/>
          <w:sz w:val="24"/>
        </w:rPr>
      </w:pPr>
      <w:r>
        <w:rPr>
          <w:b/>
          <w:sz w:val="24"/>
        </w:rPr>
      </w:r>
    </w:p>
    <w:p>
      <w:pPr>
        <w:pStyle w:val="Normal"/>
        <w:jc w:val="both"/>
        <w:rPr>
          <w:b/>
          <w:sz w:val="24"/>
        </w:rPr>
      </w:pPr>
      <w:r>
        <w:rPr>
          <w:b/>
          <w:sz w:val="24"/>
        </w:rPr>
      </w:r>
    </w:p>
    <w:p>
      <w:pPr>
        <w:pStyle w:val="Normal"/>
        <w:jc w:val="both"/>
        <w:rPr>
          <w:b/>
          <w:sz w:val="24"/>
        </w:rPr>
      </w:pPr>
      <w:r>
        <w:rPr>
          <w:b/>
          <w:sz w:val="24"/>
        </w:rPr>
      </w:r>
    </w:p>
    <w:p>
      <w:pPr>
        <w:pStyle w:val="Normal"/>
        <w:jc w:val="both"/>
        <w:rPr>
          <w:b/>
          <w:sz w:val="24"/>
        </w:rPr>
      </w:pPr>
      <w:r>
        <w:rPr>
          <w:b/>
          <w:sz w:val="24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417" w:right="1106" w:gutter="0" w:header="708" w:top="899" w:footer="708" w:bottom="1258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Courier New">
    <w:charset w:val="ee"/>
    <w:family w:val="roman"/>
    <w:pitch w:val="variable"/>
  </w:font>
  <w:font w:name="Wingdings">
    <w:charset w:val="ee"/>
    <w:family w:val="roman"/>
    <w:pitch w:val="variable"/>
  </w:font>
  <w:font w:name="Symbol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libri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/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/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/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/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/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/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/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/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isplayBackgroundShape/>
  <w:embedSystemFonts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pl-PL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keepLines/>
      <w:numPr>
        <w:ilvl w:val="0"/>
        <w:numId w:val="1"/>
      </w:numPr>
      <w:tabs>
        <w:tab w:val="left" w:pos="0" w:leader="none"/>
        <w:tab w:val="left" w:pos="708" w:leader="none"/>
        <w:tab w:val="left" w:pos="1416" w:leader="none"/>
        <w:tab w:val="left" w:pos="2124" w:leader="none"/>
        <w:tab w:val="left" w:pos="2832" w:leader="none"/>
        <w:tab w:val="left" w:pos="3540" w:leader="none"/>
        <w:tab w:val="left" w:pos="4248" w:leader="none"/>
        <w:tab w:val="left" w:pos="4956" w:leader="none"/>
        <w:tab w:val="left" w:pos="5664" w:leader="none"/>
        <w:tab w:val="left" w:pos="6372" w:leader="none"/>
        <w:tab w:val="left" w:pos="7080" w:leader="none"/>
        <w:tab w:val="left" w:pos="7788" w:leader="none"/>
        <w:tab w:val="left" w:pos="8496" w:leader="none"/>
        <w:tab w:val="left" w:pos="9204" w:leader="none"/>
        <w:tab w:val="left" w:pos="9912" w:leader="none"/>
      </w:tabs>
      <w:outlineLvl w:val="0"/>
    </w:pPr>
    <w:rPr>
      <w:color w:val="000000"/>
      <w:sz w:val="22"/>
      <w:u w:val="single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0"/>
      <w:jc w:val="center"/>
      <w:outlineLvl w:val="1"/>
    </w:pPr>
    <w:rPr>
      <w:b/>
      <w:sz w:val="22"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0"/>
      <w:jc w:val="center"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 w:val="true"/>
      <w:numPr>
        <w:ilvl w:val="3"/>
        <w:numId w:val="1"/>
      </w:numPr>
      <w:jc w:val="center"/>
      <w:outlineLvl w:val="3"/>
    </w:pPr>
    <w:rPr>
      <w:b/>
      <w:color w:val="000000"/>
      <w:sz w:val="24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tabs>
        <w:tab w:val="clear" w:pos="708"/>
        <w:tab w:val="left" w:pos="-5712" w:leader="none"/>
        <w:tab w:val="left" w:pos="310" w:leader="none"/>
        <w:tab w:val="left" w:pos="1700" w:leader="none"/>
        <w:tab w:val="left" w:pos="3000" w:leader="none"/>
        <w:tab w:val="left" w:pos="4000" w:leader="none"/>
        <w:tab w:val="left" w:pos="4700" w:leader="none"/>
        <w:tab w:val="left" w:pos="6700" w:leader="none"/>
        <w:tab w:val="left" w:pos="7700" w:leader="none"/>
      </w:tabs>
      <w:jc w:val="center"/>
      <w:outlineLvl w:val="4"/>
    </w:pPr>
    <w:rPr>
      <w:color w:val="000000"/>
      <w:sz w:val="24"/>
    </w:rPr>
  </w:style>
  <w:style w:type="paragraph" w:styleId="Heading6">
    <w:name w:val="Heading 6"/>
    <w:basedOn w:val="Normal"/>
    <w:next w:val="Normal"/>
    <w:qFormat/>
    <w:pPr>
      <w:keepNext w:val="true"/>
      <w:numPr>
        <w:ilvl w:val="5"/>
        <w:numId w:val="1"/>
      </w:numPr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 w:val="true"/>
      <w:numPr>
        <w:ilvl w:val="6"/>
        <w:numId w:val="1"/>
      </w:numPr>
      <w:jc w:val="center"/>
      <w:outlineLvl w:val="6"/>
    </w:pPr>
    <w:rPr>
      <w:b/>
      <w:color w:val="0000FF"/>
      <w:sz w:val="22"/>
    </w:rPr>
  </w:style>
  <w:style w:type="paragraph" w:styleId="Heading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rFonts w:ascii="Arial" w:hAnsi="Arial" w:cs="Arial"/>
      <w:i/>
    </w:rPr>
  </w:style>
  <w:style w:type="paragraph" w:styleId="Heading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b/>
      <w:i/>
      <w:sz w:val="1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Domylnaczcionkaakapitu4" w:customStyle="1">
    <w:name w:val="Domyślna czcionka akapitu4"/>
    <w:qFormat/>
    <w:rPr/>
  </w:style>
  <w:style w:type="character" w:styleId="Domylnaczcionkaakapitu3" w:customStyle="1">
    <w:name w:val="Domyślna czcionka akapitu3"/>
    <w:qFormat/>
    <w:rPr/>
  </w:style>
  <w:style w:type="character" w:styleId="WW8Num2z0" w:customStyle="1">
    <w:name w:val="WW8Num2z0"/>
    <w:qFormat/>
    <w:rPr>
      <w:rFonts w:ascii="Times New Roman" w:hAnsi="Times New Roman" w:cs="Times New Roman"/>
    </w:rPr>
  </w:style>
  <w:style w:type="character" w:styleId="WW8Num4z0" w:customStyle="1">
    <w:name w:val="WW8Num4z0"/>
    <w:qFormat/>
    <w:rPr/>
  </w:style>
  <w:style w:type="character" w:styleId="WW8Num5z0" w:customStyle="1">
    <w:name w:val="WW8Num5z0"/>
    <w:qFormat/>
    <w:rPr>
      <w:rFonts w:ascii="Times New Roman" w:hAnsi="Times New Roman" w:cs="Times New Roman"/>
    </w:rPr>
  </w:style>
  <w:style w:type="character" w:styleId="WW8Num5z1" w:customStyle="1">
    <w:name w:val="WW8Num5z1"/>
    <w:qFormat/>
    <w:rPr>
      <w:rFonts w:ascii="Courier New" w:hAnsi="Courier New" w:cs="Courier New"/>
    </w:rPr>
  </w:style>
  <w:style w:type="character" w:styleId="WW8Num5z2" w:customStyle="1">
    <w:name w:val="WW8Num5z2"/>
    <w:qFormat/>
    <w:rPr>
      <w:rFonts w:ascii="Wingdings" w:hAnsi="Wingdings" w:cs="Wingdings"/>
    </w:rPr>
  </w:style>
  <w:style w:type="character" w:styleId="WW8Num5z3" w:customStyle="1">
    <w:name w:val="WW8Num5z3"/>
    <w:qFormat/>
    <w:rPr>
      <w:rFonts w:ascii="Symbol" w:hAnsi="Symbol" w:cs="Symbol"/>
    </w:rPr>
  </w:style>
  <w:style w:type="character" w:styleId="WW8Num6z0" w:customStyle="1">
    <w:name w:val="WW8Num6z0"/>
    <w:qFormat/>
    <w:rPr>
      <w:rFonts w:ascii="Times New Roman" w:hAnsi="Times New Roman" w:cs="Times New Roman"/>
    </w:rPr>
  </w:style>
  <w:style w:type="character" w:styleId="WW8Num6z1" w:customStyle="1">
    <w:name w:val="WW8Num6z1"/>
    <w:qFormat/>
    <w:rPr>
      <w:rFonts w:ascii="Courier New" w:hAnsi="Courier New" w:cs="Courier New"/>
    </w:rPr>
  </w:style>
  <w:style w:type="character" w:styleId="WW8Num6z2" w:customStyle="1">
    <w:name w:val="WW8Num6z2"/>
    <w:qFormat/>
    <w:rPr>
      <w:rFonts w:ascii="Wingdings" w:hAnsi="Wingdings" w:cs="Wingdings"/>
    </w:rPr>
  </w:style>
  <w:style w:type="character" w:styleId="WW8Num6z3" w:customStyle="1">
    <w:name w:val="WW8Num6z3"/>
    <w:qFormat/>
    <w:rPr>
      <w:rFonts w:ascii="Symbol" w:hAnsi="Symbol" w:cs="Symbol"/>
    </w:rPr>
  </w:style>
  <w:style w:type="character" w:styleId="Domylnaczcionkaakapitu2" w:customStyle="1">
    <w:name w:val="Domyślna czcionka akapitu2"/>
    <w:qFormat/>
    <w:rPr/>
  </w:style>
  <w:style w:type="character" w:styleId="WW8Num11z0" w:customStyle="1">
    <w:name w:val="WW8Num11z0"/>
    <w:qFormat/>
    <w:rPr>
      <w:rFonts w:eastAsia="Verdana"/>
    </w:rPr>
  </w:style>
  <w:style w:type="character" w:styleId="WW8Num12z0" w:customStyle="1">
    <w:name w:val="WW8Num12z0"/>
    <w:qFormat/>
    <w:rPr>
      <w:rFonts w:ascii="Symbol" w:hAnsi="Symbol" w:cs="Symbol"/>
    </w:rPr>
  </w:style>
  <w:style w:type="character" w:styleId="WW8Num14z0" w:customStyle="1">
    <w:name w:val="WW8Num14z0"/>
    <w:qFormat/>
    <w:rPr>
      <w:rFonts w:ascii="Times New Roman" w:hAnsi="Times New Roman" w:eastAsia="Times New Roman" w:cs="Times New Roman"/>
    </w:rPr>
  </w:style>
  <w:style w:type="character" w:styleId="WW8Num14z1" w:customStyle="1">
    <w:name w:val="WW8Num14z1"/>
    <w:qFormat/>
    <w:rPr>
      <w:rFonts w:ascii="Courier New" w:hAnsi="Courier New" w:cs="Courier New"/>
    </w:rPr>
  </w:style>
  <w:style w:type="character" w:styleId="WW8Num14z2" w:customStyle="1">
    <w:name w:val="WW8Num14z2"/>
    <w:qFormat/>
    <w:rPr>
      <w:rFonts w:ascii="Wingdings" w:hAnsi="Wingdings" w:cs="Wingdings"/>
    </w:rPr>
  </w:style>
  <w:style w:type="character" w:styleId="WW8Num14z3" w:customStyle="1">
    <w:name w:val="WW8Num14z3"/>
    <w:qFormat/>
    <w:rPr>
      <w:rFonts w:ascii="Symbol" w:hAnsi="Symbol" w:cs="Symbol"/>
    </w:rPr>
  </w:style>
  <w:style w:type="character" w:styleId="WW8Num21z0" w:customStyle="1">
    <w:name w:val="WW8Num21z0"/>
    <w:qFormat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Pr>
      <w:rFonts w:ascii="Courier New" w:hAnsi="Courier New" w:cs="Courier New"/>
    </w:rPr>
  </w:style>
  <w:style w:type="character" w:styleId="WW8Num21z2" w:customStyle="1">
    <w:name w:val="WW8Num21z2"/>
    <w:qFormat/>
    <w:rPr>
      <w:rFonts w:ascii="Wingdings" w:hAnsi="Wingdings" w:cs="Wingdings"/>
    </w:rPr>
  </w:style>
  <w:style w:type="character" w:styleId="WW8Num21z3" w:customStyle="1">
    <w:name w:val="WW8Num21z3"/>
    <w:qFormat/>
    <w:rPr>
      <w:rFonts w:ascii="Symbol" w:hAnsi="Symbol" w:cs="Symbol"/>
    </w:rPr>
  </w:style>
  <w:style w:type="character" w:styleId="WW8Num22z0" w:customStyle="1">
    <w:name w:val="WW8Num22z0"/>
    <w:qFormat/>
    <w:rPr>
      <w:rFonts w:ascii="Symbol" w:hAnsi="Symbol" w:cs="Symbol"/>
    </w:rPr>
  </w:style>
  <w:style w:type="character" w:styleId="WW8Num26z0" w:customStyle="1">
    <w:name w:val="WW8Num26z0"/>
    <w:qFormat/>
    <w:rPr>
      <w:rFonts w:ascii="Symbol" w:hAnsi="Symbol" w:cs="Symbol"/>
    </w:rPr>
  </w:style>
  <w:style w:type="character" w:styleId="WW8Num29z0" w:customStyle="1">
    <w:name w:val="WW8Num29z0"/>
    <w:qFormat/>
    <w:rPr>
      <w:rFonts w:ascii="Symbol" w:hAnsi="Symbol" w:cs="Symbol"/>
    </w:rPr>
  </w:style>
  <w:style w:type="character" w:styleId="WW8Num30z0" w:customStyle="1">
    <w:name w:val="WW8Num30z0"/>
    <w:qFormat/>
    <w:rPr>
      <w:rFonts w:eastAsia="Verdana"/>
    </w:rPr>
  </w:style>
  <w:style w:type="character" w:styleId="WW8Num31z0" w:customStyle="1">
    <w:name w:val="WW8Num31z0"/>
    <w:qFormat/>
    <w:rPr>
      <w:rFonts w:ascii="Symbol" w:hAnsi="Symbol" w:cs="Symbol"/>
    </w:rPr>
  </w:style>
  <w:style w:type="character" w:styleId="WW8Num36z0" w:customStyle="1">
    <w:name w:val="WW8Num36z0"/>
    <w:qFormat/>
    <w:rPr>
      <w:color w:val="000000"/>
    </w:rPr>
  </w:style>
  <w:style w:type="character" w:styleId="Domylnaczcionkaakapitu1" w:customStyle="1">
    <w:name w:val="Domyślna czcionka akapitu1"/>
    <w:qFormat/>
    <w:rPr/>
  </w:style>
  <w:style w:type="character" w:styleId="TekstprzypisukocowegoZnak" w:customStyle="1">
    <w:name w:val="Tekst przypisu końcowego Znak"/>
    <w:qFormat/>
    <w:rPr/>
  </w:style>
  <w:style w:type="character" w:styleId="Znakiprzypiswkocowych" w:customStyle="1">
    <w:name w:val="Znaki przypisów końcowych"/>
    <w:qFormat/>
    <w:rPr>
      <w:vertAlign w:val="superscript"/>
    </w:rPr>
  </w:style>
  <w:style w:type="character" w:styleId="NagwekZnak" w:customStyle="1">
    <w:name w:val="Nagłówek Znak"/>
    <w:qFormat/>
    <w:rPr/>
  </w:style>
  <w:style w:type="character" w:styleId="StopkaZnak" w:customStyle="1">
    <w:name w:val="Stopka Znak"/>
    <w:qFormat/>
    <w:rPr/>
  </w:style>
  <w:style w:type="character" w:styleId="TekstdymkaZnak" w:customStyle="1">
    <w:name w:val="Tekst dymka Znak"/>
    <w:qFormat/>
    <w:rPr>
      <w:rFonts w:ascii="Segoe UI" w:hAnsi="Segoe UI" w:cs="Segoe UI"/>
      <w:sz w:val="18"/>
      <w:szCs w:val="18"/>
    </w:rPr>
  </w:style>
  <w:style w:type="character" w:styleId="Odwoaniedokomentarza1" w:customStyle="1">
    <w:name w:val="Odwołanie do komentarza1"/>
    <w:qFormat/>
    <w:rPr>
      <w:sz w:val="16"/>
      <w:szCs w:val="16"/>
    </w:rPr>
  </w:style>
  <w:style w:type="character" w:styleId="TekstkomentarzaZnak" w:customStyle="1">
    <w:name w:val="Tekst komentarza Znak"/>
    <w:qFormat/>
    <w:rPr>
      <w:lang w:eastAsia="zh-CN"/>
    </w:rPr>
  </w:style>
  <w:style w:type="character" w:styleId="TematkomentarzaZnak" w:customStyle="1">
    <w:name w:val="Temat komentarza Znak"/>
    <w:qFormat/>
    <w:rPr>
      <w:b/>
      <w:bCs/>
      <w:lang w:eastAsia="zh-CN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jc w:val="both"/>
    </w:pPr>
    <w:rPr>
      <w:sz w:val="24"/>
    </w:rPr>
  </w:style>
  <w:style w:type="paragraph" w:styleId="List">
    <w:name w:val="List"/>
    <w:basedOn w:val="BodyText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Tahoma"/>
    </w:rPr>
  </w:style>
  <w:style w:type="paragraph" w:styleId="Nagwek4" w:customStyle="1">
    <w:name w:val="Nagłówek4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Caption11" w:customStyle="1">
    <w:name w:val="Caption1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agwek3" w:customStyle="1">
    <w:name w:val="Nagłówek3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Legenda2" w:customStyle="1">
    <w:name w:val="Legenda2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agwek2" w:customStyle="1">
    <w:name w:val="Nagłówek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Legenda1" w:customStyle="1">
    <w:name w:val="Legenda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agwek1" w:customStyle="1">
    <w:name w:val="Nagłówek1"/>
    <w:basedOn w:val="Normal"/>
    <w:next w:val="BodyText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Podpis1" w:customStyle="1">
    <w:name w:val="Podpis1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Tekstpodstawowywcity21" w:customStyle="1">
    <w:name w:val="Tekst podstawowy wcięty 21"/>
    <w:basedOn w:val="Normal"/>
    <w:qFormat/>
    <w:pPr>
      <w:spacing w:lineRule="auto" w:line="480" w:before="0" w:after="120"/>
      <w:ind w:left="283"/>
    </w:pPr>
    <w:rPr/>
  </w:style>
  <w:style w:type="paragraph" w:styleId="Tekstpodstawowywcity31" w:customStyle="1">
    <w:name w:val="Tekst podstawowy wcięty 31"/>
    <w:basedOn w:val="Normal"/>
    <w:qFormat/>
    <w:pPr>
      <w:spacing w:before="0" w:after="120"/>
      <w:ind w:left="283"/>
    </w:pPr>
    <w:rPr>
      <w:sz w:val="16"/>
      <w:szCs w:val="16"/>
    </w:rPr>
  </w:style>
  <w:style w:type="paragraph" w:styleId="Wyliczenie4" w:customStyle="1">
    <w:name w:val="Wyliczenie 4"/>
    <w:basedOn w:val="Normal"/>
    <w:qFormat/>
    <w:pPr>
      <w:ind w:hanging="283" w:left="283"/>
    </w:pPr>
    <w:rPr/>
  </w:style>
  <w:style w:type="paragraph" w:styleId="Blockquote" w:customStyle="1">
    <w:name w:val="Blockquote"/>
    <w:basedOn w:val="Normal"/>
    <w:qFormat/>
    <w:pPr>
      <w:spacing w:before="100" w:after="100"/>
      <w:ind w:left="360" w:right="360"/>
    </w:pPr>
    <w:rPr>
      <w:sz w:val="24"/>
    </w:rPr>
  </w:style>
  <w:style w:type="paragraph" w:styleId="BodyTextIndent">
    <w:name w:val="Body Text Indent"/>
    <w:basedOn w:val="Normal"/>
    <w:pPr>
      <w:tabs>
        <w:tab w:val="clear" w:pos="708"/>
        <w:tab w:val="left" w:pos="2160" w:leader="none"/>
        <w:tab w:val="left" w:pos="3204" w:leader="none"/>
        <w:tab w:val="left" w:pos="3912" w:leader="none"/>
        <w:tab w:val="left" w:pos="4620" w:leader="none"/>
        <w:tab w:val="left" w:pos="5328" w:leader="none"/>
        <w:tab w:val="left" w:pos="6036" w:leader="none"/>
        <w:tab w:val="left" w:pos="6744" w:leader="none"/>
        <w:tab w:val="left" w:pos="7452" w:leader="none"/>
        <w:tab w:val="left" w:pos="8160" w:leader="none"/>
        <w:tab w:val="left" w:pos="8868" w:leader="none"/>
        <w:tab w:val="left" w:pos="9576" w:leader="none"/>
        <w:tab w:val="left" w:pos="10284" w:leader="none"/>
        <w:tab w:val="left" w:pos="10992" w:leader="none"/>
      </w:tabs>
      <w:ind w:hanging="375" w:left="1080"/>
      <w:jc w:val="both"/>
    </w:pPr>
    <w:rPr>
      <w:color w:val="000000"/>
      <w:spacing w:val="-3"/>
      <w:sz w:val="24"/>
    </w:rPr>
  </w:style>
  <w:style w:type="paragraph" w:styleId="EndnoteText">
    <w:name w:val="Endnote Text"/>
    <w:basedOn w:val="Normal"/>
    <w:pPr/>
    <w:rPr/>
  </w:style>
  <w:style w:type="paragraph" w:styleId="Gwkaistopka" w:customStyle="1">
    <w:name w:val="Główka i stopka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Normal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  <w:style w:type="paragraph" w:styleId="Zawartotabeli" w:customStyle="1">
    <w:name w:val="Zawartość tabeli"/>
    <w:basedOn w:val="Normal"/>
    <w:qFormat/>
    <w:pPr>
      <w:widowControl w:val="false"/>
      <w:suppressLineNumbers/>
    </w:pPr>
    <w:rPr/>
  </w:style>
  <w:style w:type="paragraph" w:styleId="Nagwektabeli" w:customStyle="1">
    <w:name w:val="Nagłówek tabeli"/>
    <w:basedOn w:val="Zawartotabeli"/>
    <w:qFormat/>
    <w:pPr>
      <w:jc w:val="center"/>
    </w:pPr>
    <w:rPr>
      <w:b/>
      <w:bCs/>
    </w:rPr>
  </w:style>
  <w:style w:type="paragraph" w:styleId="Tekstkomentarza1" w:customStyle="1">
    <w:name w:val="Tekst komentarza1"/>
    <w:basedOn w:val="Normal"/>
    <w:qFormat/>
    <w:pPr/>
    <w:rPr/>
  </w:style>
  <w:style w:type="paragraph" w:styleId="Annotationsubject">
    <w:name w:val="annotation subject"/>
    <w:basedOn w:val="Tekstkomentarza1"/>
    <w:next w:val="Tekstkomentarza1"/>
    <w:qFormat/>
    <w:pPr/>
    <w:rPr>
      <w:b/>
      <w:bCs/>
    </w:rPr>
  </w:style>
  <w:style w:type="paragraph" w:styleId="Default">
    <w:name w:val="Default"/>
    <w:qFormat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Times New Roman" w:cs="Calibri"/>
      <w:color w:val="000000"/>
      <w:kern w:val="0"/>
      <w:sz w:val="24"/>
      <w:szCs w:val="24"/>
      <w:lang w:val="pl-PL" w:eastAsia="pl-PL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LibreOffice/24.2.0.3$Windows_X86_64 LibreOffice_project/da48488a73ddd66ea24cf16bbc4f7b9c08e9bea1</Application>
  <AppVersion>15.0000</AppVersion>
  <Pages>2</Pages>
  <Words>295</Words>
  <Characters>1745</Characters>
  <CharactersWithSpaces>1950</CharactersWithSpaces>
  <Paragraphs>102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2024-06-03T07:50:00Z</dcterms:created>
  <dc:creator>rignasiak</dc:creator>
  <dc:description/>
  <dc:language>pl-PL</dc:language>
  <cp:lastModifiedBy/>
  <cp:lastPrinted>2025-09-24T14:00:10Z</cp:lastPrinted>
  <dcterms:modified xsi:type="dcterms:W3CDTF">2025-10-09T10:03:28Z</dcterms:modified>
  <cp:revision>26</cp:revision>
  <dc:subject/>
  <dc:title>Zarządzenie Nr 353/04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