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1260FA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21133F" w:rsidRPr="00F5587B" w:rsidRDefault="0021133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EA43DF" w:rsidRPr="00FE03EB" w:rsidRDefault="00EA43DF" w:rsidP="00EA43DF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FE03E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FE03EB" w:rsidRPr="00FE03EB">
        <w:rPr>
          <w:rFonts w:ascii="Arial" w:hAnsi="Arial" w:cs="Arial"/>
          <w:b/>
          <w:sz w:val="24"/>
          <w:szCs w:val="24"/>
        </w:rPr>
        <w:t>Sukcesywne dostawy oleju opałowego lekkiego do oczyszczalni ścieków            Pomorzany i Zdroje</w:t>
      </w:r>
      <w:r w:rsidRPr="00FE03EB">
        <w:rPr>
          <w:rFonts w:ascii="Arial" w:hAnsi="Arial" w:cs="Arial"/>
          <w:b/>
          <w:sz w:val="24"/>
          <w:szCs w:val="24"/>
        </w:rPr>
        <w:t>”</w:t>
      </w: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9A331C" w:rsidRPr="00D949E0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03EB">
        <w:rPr>
          <w:rFonts w:ascii="Arial" w:eastAsia="Calibri" w:hAnsi="Arial" w:cs="Arial"/>
          <w:sz w:val="22"/>
          <w:szCs w:val="22"/>
          <w:lang w:eastAsia="en-US"/>
        </w:rPr>
        <w:t>09135100-5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E03EB">
        <w:rPr>
          <w:rFonts w:ascii="Arial" w:eastAsia="Calibri" w:hAnsi="Arial" w:cs="Arial"/>
          <w:sz w:val="22"/>
          <w:szCs w:val="22"/>
          <w:lang w:eastAsia="en-US"/>
        </w:rPr>
        <w:t>Olej opałowy</w:t>
      </w:r>
    </w:p>
    <w:p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Pr="009A331C">
        <w:rPr>
          <w:rFonts w:ascii="Arial" w:hAnsi="Arial" w:cs="Arial"/>
        </w:rPr>
        <w:t>Dz. U. z 20</w:t>
      </w:r>
      <w:r w:rsidR="000068D3">
        <w:rPr>
          <w:rFonts w:ascii="Arial" w:hAnsi="Arial" w:cs="Arial"/>
        </w:rPr>
        <w:t>21</w:t>
      </w:r>
      <w:r w:rsidRPr="009A331C">
        <w:rPr>
          <w:rFonts w:ascii="Arial" w:hAnsi="Arial" w:cs="Arial"/>
        </w:rPr>
        <w:t xml:space="preserve"> r. poz. </w:t>
      </w:r>
      <w:r w:rsidR="000068D3">
        <w:rPr>
          <w:rFonts w:ascii="Arial" w:hAnsi="Arial" w:cs="Arial"/>
        </w:rPr>
        <w:t>1129</w:t>
      </w:r>
      <w:r w:rsidR="00490959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>zamówienie sektorowe 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bookmarkEnd w:id="0"/>
    <w:p w:rsidR="00081538" w:rsidRPr="00245A45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377C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377C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377C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377CE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strony internetowej prowadzonego postępowania oraz na której będą udostępniane zmiany i wyjaśnienia treści SWZ oraz inne dokumenty zamówienia bezpośrednio związane z postępowaniem </w:t>
      </w:r>
      <w:r w:rsidR="00DA3D3D">
        <w:rPr>
          <w:rFonts w:ascii="Arial" w:hAnsi="Arial" w:cs="Arial"/>
          <w:sz w:val="24"/>
          <w:szCs w:val="24"/>
        </w:rPr>
        <w:br/>
      </w:r>
      <w:r w:rsidRPr="00027064">
        <w:rPr>
          <w:rFonts w:ascii="Arial" w:hAnsi="Arial" w:cs="Arial"/>
          <w:sz w:val="24"/>
          <w:szCs w:val="24"/>
        </w:rPr>
        <w:t>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0068D3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0068D3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) oraz Załącznika nr 1 do Rozporządzenia Komisji (UE) nr 651/2014 z dnia 17 czerwca 2014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:rsidR="00F63720" w:rsidRDefault="00F63720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687D49" w:rsidRDefault="00C54639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87D49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687D49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687D4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Pr="00687D49" w:rsidRDefault="00C54639" w:rsidP="00377C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Pr="00687D49" w:rsidRDefault="00C54639" w:rsidP="00377C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zaprosi do negocjacji </w:t>
      </w:r>
      <w:r w:rsidRPr="00687D49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687D49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68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49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687D49">
        <w:rPr>
          <w:rFonts w:ascii="Arial" w:hAnsi="Arial" w:cs="Arial"/>
          <w:sz w:val="24"/>
          <w:szCs w:val="24"/>
        </w:rPr>
        <w:t xml:space="preserve">będą </w:t>
      </w:r>
      <w:r w:rsidRPr="00687D49">
        <w:rPr>
          <w:rFonts w:ascii="Arial" w:hAnsi="Arial" w:cs="Arial"/>
          <w:sz w:val="24"/>
          <w:szCs w:val="24"/>
        </w:rPr>
        <w:t>wyłącznie cen ofert;</w:t>
      </w:r>
    </w:p>
    <w:p w:rsidR="00C54639" w:rsidRPr="00687D49" w:rsidRDefault="00C54639" w:rsidP="00377C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 w:rsidRPr="00687D49">
        <w:rPr>
          <w:rFonts w:ascii="Arial" w:hAnsi="Arial" w:cs="Arial"/>
          <w:sz w:val="24"/>
          <w:szCs w:val="24"/>
        </w:rPr>
        <w:t xml:space="preserve">,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="006F7ECC" w:rsidRPr="00687D49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87D49">
        <w:rPr>
          <w:rFonts w:ascii="Arial" w:hAnsi="Arial" w:cs="Arial"/>
          <w:sz w:val="24"/>
          <w:szCs w:val="24"/>
        </w:rPr>
        <w:t>ż</w:t>
      </w:r>
      <w:r w:rsidR="006F7ECC" w:rsidRPr="00687D49">
        <w:rPr>
          <w:rFonts w:ascii="Arial" w:hAnsi="Arial" w:cs="Arial"/>
          <w:sz w:val="24"/>
          <w:szCs w:val="24"/>
        </w:rPr>
        <w:t>oną</w:t>
      </w:r>
      <w:r w:rsidRPr="00687D49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6815CB" w:rsidRDefault="0060016F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6815CB" w:rsidRPr="006815CB" w:rsidRDefault="006815CB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:rsidR="0060016F" w:rsidRPr="006815CB" w:rsidRDefault="0060016F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sz w:val="24"/>
          <w:szCs w:val="24"/>
        </w:rPr>
        <w:t>Zamawiający nie dopuszc</w:t>
      </w:r>
      <w:r w:rsidR="004B43D5" w:rsidRPr="006815CB">
        <w:rPr>
          <w:rFonts w:ascii="Arial" w:hAnsi="Arial" w:cs="Arial"/>
          <w:sz w:val="24"/>
          <w:szCs w:val="24"/>
        </w:rPr>
        <w:t>za składania ofert wariantowych</w:t>
      </w:r>
      <w:r w:rsidR="00F2586C" w:rsidRPr="006815CB">
        <w:rPr>
          <w:rFonts w:ascii="Arial" w:hAnsi="Arial" w:cs="Arial"/>
          <w:sz w:val="24"/>
          <w:szCs w:val="24"/>
        </w:rPr>
        <w:t>.</w:t>
      </w:r>
    </w:p>
    <w:p w:rsidR="0060016F" w:rsidRPr="006A22F0" w:rsidRDefault="0060016F" w:rsidP="00377C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C066AB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7018DB"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:rsidR="00C066AB" w:rsidRPr="00234DE0" w:rsidRDefault="00437678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377CE2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377CE2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377CE2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377CE2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377CE2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377CE2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377CE2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</w:t>
      </w:r>
      <w:r w:rsidR="00FE03EB">
        <w:rPr>
          <w:rFonts w:ascii="Arial" w:hAnsi="Arial" w:cs="Arial"/>
          <w:sz w:val="24"/>
          <w:szCs w:val="24"/>
        </w:rPr>
        <w:t>jest p</w:t>
      </w:r>
      <w:r w:rsidR="00E54F53">
        <w:rPr>
          <w:rFonts w:ascii="Arial" w:hAnsi="Arial" w:cs="Arial"/>
          <w:sz w:val="24"/>
          <w:szCs w:val="24"/>
        </w:rPr>
        <w:t xml:space="preserve">. Agnieszka </w:t>
      </w:r>
      <w:r w:rsidR="00EA43DF">
        <w:rPr>
          <w:rFonts w:ascii="Arial" w:hAnsi="Arial" w:cs="Arial"/>
          <w:sz w:val="24"/>
          <w:szCs w:val="24"/>
        </w:rPr>
        <w:t>Skotnicka</w:t>
      </w:r>
      <w:r w:rsidR="00E54F53">
        <w:rPr>
          <w:rFonts w:ascii="Arial" w:hAnsi="Arial" w:cs="Arial"/>
          <w:sz w:val="24"/>
          <w:szCs w:val="24"/>
        </w:rPr>
        <w:t xml:space="preserve"> – tel. 91 44 26 2</w:t>
      </w:r>
      <w:r w:rsidR="00EA43DF">
        <w:rPr>
          <w:rFonts w:ascii="Arial" w:hAnsi="Arial" w:cs="Arial"/>
          <w:sz w:val="24"/>
          <w:szCs w:val="24"/>
        </w:rPr>
        <w:t>76</w:t>
      </w:r>
      <w:r w:rsidR="00E54F53">
        <w:rPr>
          <w:rFonts w:ascii="Arial" w:hAnsi="Arial" w:cs="Arial"/>
          <w:sz w:val="24"/>
          <w:szCs w:val="24"/>
        </w:rPr>
        <w:t>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został określony </w:t>
      </w:r>
      <w:r w:rsidRPr="002F681D">
        <w:rPr>
          <w:rFonts w:ascii="Arial" w:hAnsi="Arial" w:cs="Arial"/>
        </w:rPr>
        <w:t>w Rozdziale V</w:t>
      </w:r>
      <w:r w:rsidR="0022192D" w:rsidRPr="002F681D">
        <w:rPr>
          <w:rFonts w:ascii="Arial" w:hAnsi="Arial" w:cs="Arial"/>
        </w:rPr>
        <w:t>I</w:t>
      </w:r>
      <w:r w:rsidR="0022192D" w:rsidRPr="002F681D">
        <w:rPr>
          <w:rFonts w:ascii="Arial" w:hAnsi="Arial" w:cs="Arial"/>
          <w:i/>
        </w:rPr>
        <w:t xml:space="preserve"> </w:t>
      </w:r>
      <w:r w:rsidR="00593DE9" w:rsidRPr="002F681D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377CE2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377CE2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377CE2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377CE2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377CE2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377CE2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377CE2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377CE2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377CE2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377CE2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377CE2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377CE2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377CE2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377CE2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377CE2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377CE2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377CE2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377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8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377C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490959" w:rsidRPr="00490959" w:rsidRDefault="00490959" w:rsidP="00490959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490959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490959" w:rsidRDefault="00490959" w:rsidP="00490959">
      <w:pPr>
        <w:pStyle w:val="BodyText21"/>
        <w:tabs>
          <w:tab w:val="clear" w:pos="0"/>
        </w:tabs>
        <w:ind w:left="851"/>
        <w:rPr>
          <w:rFonts w:ascii="Arial" w:hAnsi="Arial" w:cs="Arial"/>
        </w:rPr>
      </w:pPr>
      <w:r w:rsidRPr="003B3430">
        <w:rPr>
          <w:rFonts w:ascii="Arial" w:hAnsi="Arial" w:cs="Arial"/>
          <w:bCs/>
        </w:rPr>
        <w:t xml:space="preserve">Zamawiający uzna, że Wykonawca posiada wymagane przepisami prawa uprawnienia do prowadzenia </w:t>
      </w:r>
      <w:r>
        <w:rPr>
          <w:rFonts w:ascii="Arial" w:hAnsi="Arial" w:cs="Arial"/>
          <w:bCs/>
        </w:rPr>
        <w:t>określonej działalności</w:t>
      </w:r>
      <w:r w:rsidRPr="003B3430">
        <w:rPr>
          <w:rFonts w:ascii="Arial" w:hAnsi="Arial" w:cs="Arial"/>
          <w:bCs/>
        </w:rPr>
        <w:t xml:space="preserve"> gospodarcz</w:t>
      </w:r>
      <w:r>
        <w:rPr>
          <w:rFonts w:ascii="Arial" w:hAnsi="Arial" w:cs="Arial"/>
          <w:bCs/>
        </w:rPr>
        <w:t xml:space="preserve">ej lub </w:t>
      </w:r>
      <w:proofErr w:type="spellStart"/>
      <w:r>
        <w:rPr>
          <w:rFonts w:ascii="Arial" w:hAnsi="Arial" w:cs="Arial"/>
          <w:bCs/>
        </w:rPr>
        <w:t>zawodowe,j</w:t>
      </w:r>
      <w:proofErr w:type="spellEnd"/>
      <w:r>
        <w:rPr>
          <w:rFonts w:ascii="Arial" w:hAnsi="Arial" w:cs="Arial"/>
          <w:bCs/>
        </w:rPr>
        <w:t xml:space="preserve"> o ile wynika to z odrębnych przepisów</w:t>
      </w:r>
      <w:r w:rsidRPr="003B3430">
        <w:rPr>
          <w:rFonts w:ascii="Arial" w:hAnsi="Arial" w:cs="Arial"/>
          <w:bCs/>
        </w:rPr>
        <w:t>, jeżeli Wykonawca wykaże, że posiada</w:t>
      </w:r>
      <w:r w:rsidRPr="003B3430">
        <w:rPr>
          <w:rFonts w:ascii="Arial" w:hAnsi="Arial" w:cs="Arial"/>
          <w:b/>
          <w:bCs/>
        </w:rPr>
        <w:t xml:space="preserve"> </w:t>
      </w:r>
      <w:r w:rsidRPr="003B3430">
        <w:rPr>
          <w:rFonts w:ascii="Arial" w:hAnsi="Arial" w:cs="Arial"/>
        </w:rPr>
        <w:t>koncesj</w:t>
      </w:r>
      <w:r>
        <w:rPr>
          <w:rFonts w:ascii="Arial" w:hAnsi="Arial" w:cs="Arial"/>
        </w:rPr>
        <w:t>ę</w:t>
      </w:r>
      <w:r w:rsidRPr="003B3430">
        <w:rPr>
          <w:rFonts w:ascii="Arial" w:hAnsi="Arial" w:cs="Arial"/>
        </w:rPr>
        <w:t xml:space="preserve"> wydana przez Prezesa Urzędu Regulacji Energetyki na prowadzenie działalności gospodarczej w zakresie obrotu paliwami, zgodnie z </w:t>
      </w:r>
      <w:r w:rsidRPr="003B3430">
        <w:rPr>
          <w:rFonts w:ascii="Arial" w:hAnsi="Arial" w:cs="Arial"/>
        </w:rPr>
        <w:lastRenderedPageBreak/>
        <w:t>ustawą z dnia 10 kwietnia 1997 r. Prawo energetyczne (Dz. U. z 2021 poz. 716 ze zm.).</w:t>
      </w:r>
    </w:p>
    <w:p w:rsidR="00B72FF8" w:rsidRPr="00490959" w:rsidRDefault="00490959" w:rsidP="00490959">
      <w:pPr>
        <w:pStyle w:val="BodyText21"/>
        <w:tabs>
          <w:tab w:val="clear" w:pos="0"/>
        </w:tabs>
        <w:ind w:left="851"/>
        <w:rPr>
          <w:rFonts w:ascii="Arial" w:hAnsi="Arial" w:cs="Arial"/>
          <w:i/>
          <w:iCs/>
          <w:u w:val="single"/>
        </w:rPr>
      </w:pPr>
      <w:r>
        <w:rPr>
          <w:rFonts w:ascii="Arial" w:hAnsi="Arial"/>
          <w:u w:val="single"/>
        </w:rPr>
        <w:t>W</w:t>
      </w:r>
      <w:r w:rsidRPr="00193990">
        <w:rPr>
          <w:rFonts w:ascii="Arial" w:hAnsi="Arial"/>
          <w:u w:val="single"/>
        </w:rPr>
        <w:t xml:space="preserve"> przypadku Wykonawców wspólnie ubiegających się o udzielenie zamówienia ww. warunek jest spełniony, jeżeli co najmniej jeden z wykonawców wspólnie ubiegających się o zamówienie posiada</w:t>
      </w:r>
      <w:r>
        <w:rPr>
          <w:rFonts w:ascii="Arial" w:hAnsi="Arial"/>
          <w:u w:val="single"/>
        </w:rPr>
        <w:t xml:space="preserve"> koncesję.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bookmarkStart w:id="2" w:name="_Hlk82590906"/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bookmarkEnd w:id="2"/>
    <w:p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377CE2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3B3430" w:rsidRDefault="003B3430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B3430">
        <w:rPr>
          <w:rFonts w:ascii="Arial" w:hAnsi="Arial" w:cs="Arial"/>
          <w:b/>
          <w:sz w:val="24"/>
          <w:szCs w:val="24"/>
        </w:rPr>
        <w:t>koncesj</w:t>
      </w:r>
      <w:r>
        <w:rPr>
          <w:rFonts w:ascii="Arial" w:hAnsi="Arial" w:cs="Arial"/>
          <w:b/>
          <w:sz w:val="24"/>
          <w:szCs w:val="24"/>
        </w:rPr>
        <w:t xml:space="preserve">ę </w:t>
      </w:r>
      <w:r w:rsidRPr="003B3430">
        <w:rPr>
          <w:rFonts w:ascii="Arial" w:hAnsi="Arial" w:cs="Arial"/>
          <w:sz w:val="24"/>
          <w:szCs w:val="24"/>
        </w:rPr>
        <w:t>wydan</w:t>
      </w:r>
      <w:r>
        <w:rPr>
          <w:rFonts w:ascii="Arial" w:hAnsi="Arial" w:cs="Arial"/>
          <w:sz w:val="24"/>
          <w:szCs w:val="24"/>
        </w:rPr>
        <w:t>ą</w:t>
      </w:r>
      <w:r w:rsidRPr="003B3430">
        <w:rPr>
          <w:rFonts w:ascii="Arial" w:hAnsi="Arial" w:cs="Arial"/>
          <w:sz w:val="24"/>
          <w:szCs w:val="24"/>
        </w:rPr>
        <w:t xml:space="preserve"> przez Prezesa Urzędu Regulacji Energetyki na prowadzenie działalności gospodarczej w zakresie obrotu paliwami, zgodnie z ustawą z dnia 10 kwietnia 1997 r. Prawo energetyczne (Dz. U. z 2021 poz. 716 ze zm.).</w:t>
      </w:r>
    </w:p>
    <w:p w:rsidR="003B3430" w:rsidRPr="003B3430" w:rsidRDefault="003B3430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3B3430">
        <w:rPr>
          <w:rFonts w:ascii="Arial" w:hAnsi="Arial" w:cs="Arial"/>
          <w:b/>
          <w:sz w:val="24"/>
          <w:szCs w:val="24"/>
        </w:rPr>
        <w:t>artę charakterystyki</w:t>
      </w:r>
      <w:r w:rsidRPr="003B3430">
        <w:rPr>
          <w:rFonts w:ascii="Arial" w:hAnsi="Arial" w:cs="Arial"/>
          <w:sz w:val="24"/>
          <w:szCs w:val="24"/>
        </w:rPr>
        <w:t xml:space="preserve"> produktu zgodn</w:t>
      </w:r>
      <w:r>
        <w:rPr>
          <w:rFonts w:ascii="Arial" w:hAnsi="Arial" w:cs="Arial"/>
          <w:sz w:val="24"/>
          <w:szCs w:val="24"/>
        </w:rPr>
        <w:t>ą</w:t>
      </w:r>
      <w:r w:rsidRPr="003B3430">
        <w:rPr>
          <w:rFonts w:ascii="Arial" w:hAnsi="Arial" w:cs="Arial"/>
          <w:sz w:val="24"/>
          <w:szCs w:val="24"/>
        </w:rPr>
        <w:t xml:space="preserve"> z Rozporządzeniem (WE) nr 1907/2006 Parlamentu europejskiego i Rady z dnia 18 grudnia 2006r. w sprawie „REACH” (Dz.U.UE.L.06.396.1 ze zm.) dla zaoferowanego oleju opałowego lekkiego.</w:t>
      </w:r>
    </w:p>
    <w:p w:rsidR="0060016F" w:rsidRPr="003C12D3" w:rsidRDefault="003B3430" w:rsidP="00377CE2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24766"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</w:t>
      </w:r>
      <w:r w:rsidR="0060016F" w:rsidRPr="0020224A">
        <w:rPr>
          <w:rFonts w:ascii="Arial" w:hAnsi="Arial" w:cs="Arial"/>
          <w:sz w:val="24"/>
          <w:szCs w:val="24"/>
        </w:rPr>
        <w:t>przedmiotowych środków dowodowych</w:t>
      </w:r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20224A">
        <w:rPr>
          <w:rFonts w:ascii="Arial" w:hAnsi="Arial" w:cs="Arial"/>
          <w:sz w:val="24"/>
          <w:szCs w:val="24"/>
        </w:rPr>
        <w:t xml:space="preserve"> lub złożone przedmiotowe </w:t>
      </w:r>
      <w:r w:rsidR="0060016F" w:rsidRPr="003C12D3">
        <w:rPr>
          <w:rFonts w:ascii="Arial" w:hAnsi="Arial" w:cs="Arial"/>
          <w:sz w:val="24"/>
          <w:szCs w:val="24"/>
        </w:rPr>
        <w:t xml:space="preserve">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:rsidR="0060016F" w:rsidRPr="00687E65" w:rsidRDefault="003B3430" w:rsidP="00377CE2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2315"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="00222315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222315"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</w:t>
      </w:r>
      <w:r w:rsidR="00675C02" w:rsidRPr="00687E65">
        <w:rPr>
          <w:rFonts w:ascii="Arial" w:hAnsi="Arial" w:cs="Arial"/>
          <w:sz w:val="24"/>
          <w:szCs w:val="24"/>
        </w:rPr>
        <w:lastRenderedPageBreak/>
        <w:t xml:space="preserve">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3B3430" w:rsidP="00377CE2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7E65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>
        <w:rPr>
          <w:rFonts w:ascii="Arial" w:hAnsi="Arial" w:cs="Arial"/>
          <w:sz w:val="24"/>
          <w:szCs w:val="24"/>
        </w:rPr>
        <w:t xml:space="preserve">(o ile są wymagane) </w:t>
      </w:r>
      <w:r w:rsidR="00687E65">
        <w:rPr>
          <w:rFonts w:ascii="Arial" w:hAnsi="Arial" w:cs="Arial"/>
          <w:sz w:val="24"/>
          <w:szCs w:val="24"/>
        </w:rPr>
        <w:t>na wezwanie, o który</w:t>
      </w:r>
      <w:r w:rsidR="00490959">
        <w:rPr>
          <w:rFonts w:ascii="Arial" w:hAnsi="Arial" w:cs="Arial"/>
          <w:sz w:val="24"/>
          <w:szCs w:val="24"/>
        </w:rPr>
        <w:t>m</w:t>
      </w:r>
      <w:r w:rsidR="00687E65">
        <w:rPr>
          <w:rFonts w:ascii="Arial" w:hAnsi="Arial" w:cs="Arial"/>
          <w:sz w:val="24"/>
          <w:szCs w:val="24"/>
        </w:rPr>
        <w:t xml:space="preserve"> mowa w pkt </w:t>
      </w:r>
      <w:r w:rsidR="00490959">
        <w:rPr>
          <w:rFonts w:ascii="Arial" w:hAnsi="Arial" w:cs="Arial"/>
          <w:sz w:val="24"/>
          <w:szCs w:val="24"/>
        </w:rPr>
        <w:t>3</w:t>
      </w:r>
      <w:r w:rsidR="00687E65">
        <w:rPr>
          <w:rFonts w:ascii="Arial" w:hAnsi="Arial" w:cs="Arial"/>
          <w:sz w:val="24"/>
          <w:szCs w:val="24"/>
        </w:rPr>
        <w:t>, aktualne na dzień ich złożenia</w:t>
      </w:r>
      <w:r w:rsidR="00490959">
        <w:rPr>
          <w:rFonts w:ascii="Arial" w:hAnsi="Arial" w:cs="Arial"/>
          <w:sz w:val="24"/>
          <w:szCs w:val="24"/>
        </w:rPr>
        <w:t>.</w:t>
      </w:r>
    </w:p>
    <w:p w:rsidR="00B303CB" w:rsidRPr="00087AF1" w:rsidRDefault="003B3430" w:rsidP="00377CE2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3B3430" w:rsidP="00377CE2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="00E16599"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:rsidR="00E16599" w:rsidRPr="00E16599" w:rsidRDefault="003B3430" w:rsidP="00377CE2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1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A5562A" w:rsidRDefault="00A5562A" w:rsidP="00FE03E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 xml:space="preserve">Termin wykonania zamówienia: </w:t>
      </w:r>
      <w:r w:rsidR="00FE03EB">
        <w:rPr>
          <w:rFonts w:ascii="Arial" w:hAnsi="Arial" w:cs="Arial"/>
          <w:sz w:val="24"/>
          <w:szCs w:val="24"/>
        </w:rPr>
        <w:t>sukcesywnie przez okres 12 miesięcy od dnia zawarcia umowy plus 3 miesiące ewentualne przedłużenia umowy na zasadach zawartych w projektowanych postanowieniach umowy.</w:t>
      </w:r>
    </w:p>
    <w:p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1D23B8" w:rsidRPr="003C12D3" w:rsidRDefault="001D23B8" w:rsidP="00377CE2">
      <w:pPr>
        <w:pStyle w:val="pkt"/>
        <w:numPr>
          <w:ilvl w:val="0"/>
          <w:numId w:val="3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>
        <w:rPr>
          <w:rFonts w:ascii="Arial" w:hAnsi="Arial" w:cs="Arial"/>
          <w:b/>
        </w:rPr>
        <w:t>7.</w:t>
      </w:r>
      <w:r w:rsidRPr="0028228F">
        <w:rPr>
          <w:rFonts w:ascii="Arial" w:hAnsi="Arial" w:cs="Arial"/>
          <w:b/>
        </w:rPr>
        <w:t>000,00 zł</w:t>
      </w:r>
      <w:r w:rsidRPr="0028228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siedem tysięcy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 xml:space="preserve">należy wnieść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:rsidR="001D23B8" w:rsidRPr="0028228F" w:rsidRDefault="001D23B8" w:rsidP="00377CE2">
      <w:pPr>
        <w:pStyle w:val="pkt"/>
        <w:numPr>
          <w:ilvl w:val="0"/>
          <w:numId w:val="3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:rsidR="001D23B8" w:rsidRPr="0028228F" w:rsidRDefault="001D23B8" w:rsidP="00377CE2">
      <w:pPr>
        <w:numPr>
          <w:ilvl w:val="1"/>
          <w:numId w:val="39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:rsidR="001D23B8" w:rsidRPr="0028228F" w:rsidRDefault="001D23B8" w:rsidP="001D23B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:rsidR="001D23B8" w:rsidRPr="0028228F" w:rsidRDefault="001D23B8" w:rsidP="001D23B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>
        <w:rPr>
          <w:rFonts w:ascii="Arial" w:hAnsi="Arial" w:cs="Arial"/>
          <w:b/>
          <w:sz w:val="24"/>
          <w:szCs w:val="24"/>
        </w:rPr>
        <w:t>Sukcesywne dostawy oleju opałowego lekkiego do oczyszczalni ścieków Pomorzany i Zdroje</w:t>
      </w:r>
      <w:r w:rsidRPr="0028228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:rsidR="001D23B8" w:rsidRDefault="001D23B8" w:rsidP="00377CE2">
      <w:pPr>
        <w:pStyle w:val="pkt"/>
        <w:numPr>
          <w:ilvl w:val="1"/>
          <w:numId w:val="39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lastRenderedPageBreak/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:rsidR="001D23B8" w:rsidRPr="00311535" w:rsidRDefault="001D23B8" w:rsidP="001D23B8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:rsidR="001D23B8" w:rsidRPr="003C12D3" w:rsidRDefault="001D23B8" w:rsidP="00377CE2">
      <w:pPr>
        <w:numPr>
          <w:ilvl w:val="0"/>
          <w:numId w:val="37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:rsidR="001D23B8" w:rsidRPr="003C12D3" w:rsidRDefault="001D23B8" w:rsidP="00377CE2">
      <w:pPr>
        <w:numPr>
          <w:ilvl w:val="0"/>
          <w:numId w:val="3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:rsidR="001D23B8" w:rsidRPr="003C12D3" w:rsidRDefault="001D23B8" w:rsidP="00377CE2">
      <w:pPr>
        <w:numPr>
          <w:ilvl w:val="0"/>
          <w:numId w:val="3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:rsidR="001D23B8" w:rsidRPr="003C12D3" w:rsidRDefault="001D23B8" w:rsidP="00377CE2">
      <w:pPr>
        <w:numPr>
          <w:ilvl w:val="0"/>
          <w:numId w:val="3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:rsidR="001D23B8" w:rsidRPr="003C12D3" w:rsidRDefault="001D23B8" w:rsidP="00377CE2">
      <w:pPr>
        <w:numPr>
          <w:ilvl w:val="0"/>
          <w:numId w:val="3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:rsidR="001D23B8" w:rsidRPr="00B05456" w:rsidRDefault="001D23B8" w:rsidP="00377CE2">
      <w:pPr>
        <w:numPr>
          <w:ilvl w:val="0"/>
          <w:numId w:val="3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1D23B8" w:rsidRPr="00693850" w:rsidRDefault="001D23B8" w:rsidP="00377CE2">
      <w:pPr>
        <w:pStyle w:val="Akapitzlist"/>
        <w:numPr>
          <w:ilvl w:val="0"/>
          <w:numId w:val="40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:rsidR="001D23B8" w:rsidRPr="00B05456" w:rsidRDefault="001D23B8" w:rsidP="001D23B8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:rsidR="001D23B8" w:rsidRPr="00B05456" w:rsidRDefault="001D23B8" w:rsidP="001D23B8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:rsidR="001D23B8" w:rsidRPr="00B05456" w:rsidRDefault="001D23B8" w:rsidP="00377CE2">
      <w:pPr>
        <w:pStyle w:val="Tekstpodstawowywcity3"/>
        <w:numPr>
          <w:ilvl w:val="0"/>
          <w:numId w:val="40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:rsidR="001D23B8" w:rsidRPr="00A86129" w:rsidRDefault="001D23B8" w:rsidP="00377CE2">
      <w:pPr>
        <w:pStyle w:val="Akapitzlist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:rsidR="001D23B8" w:rsidRPr="00511AB3" w:rsidRDefault="001D23B8" w:rsidP="00377CE2">
      <w:pPr>
        <w:numPr>
          <w:ilvl w:val="0"/>
          <w:numId w:val="37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:rsidR="001D23B8" w:rsidRDefault="001D23B8" w:rsidP="00377CE2">
      <w:pPr>
        <w:numPr>
          <w:ilvl w:val="0"/>
          <w:numId w:val="3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:rsidR="001D23B8" w:rsidRDefault="001D23B8" w:rsidP="00377CE2">
      <w:pPr>
        <w:numPr>
          <w:ilvl w:val="0"/>
          <w:numId w:val="3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:rsidR="001D23B8" w:rsidRDefault="001D23B8" w:rsidP="00377CE2">
      <w:pPr>
        <w:pStyle w:val="Akapitzlist"/>
        <w:numPr>
          <w:ilvl w:val="1"/>
          <w:numId w:val="35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:rsidR="001D23B8" w:rsidRDefault="001D23B8" w:rsidP="00377CE2">
      <w:pPr>
        <w:pStyle w:val="Akapitzlist"/>
        <w:numPr>
          <w:ilvl w:val="1"/>
          <w:numId w:val="35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:rsidR="001D23B8" w:rsidRPr="009B7002" w:rsidRDefault="001D23B8" w:rsidP="00377CE2">
      <w:pPr>
        <w:pStyle w:val="Akapitzlist"/>
        <w:numPr>
          <w:ilvl w:val="1"/>
          <w:numId w:val="35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:rsidR="001D23B8" w:rsidRPr="00164FF7" w:rsidRDefault="001D23B8" w:rsidP="00377CE2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:rsidR="001D23B8" w:rsidRPr="00164FF7" w:rsidRDefault="001D23B8" w:rsidP="001D23B8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:rsidR="001D23B8" w:rsidRPr="00164FF7" w:rsidRDefault="001D23B8" w:rsidP="001D23B8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lastRenderedPageBreak/>
        <w:t>2) którego oferta została odrzucona;</w:t>
      </w:r>
    </w:p>
    <w:p w:rsidR="001D23B8" w:rsidRPr="00164FF7" w:rsidRDefault="001D23B8" w:rsidP="001D23B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:rsidR="001D23B8" w:rsidRPr="00164FF7" w:rsidRDefault="001D23B8" w:rsidP="001D23B8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:rsidR="001D23B8" w:rsidRDefault="001D23B8" w:rsidP="00377CE2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:rsidR="001D23B8" w:rsidRPr="00A04798" w:rsidRDefault="001D23B8" w:rsidP="00377CE2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490959" w:rsidRPr="00564091" w:rsidRDefault="00490959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732D50" w:rsidRPr="00732D50" w:rsidRDefault="00732D50" w:rsidP="00377CE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</w:t>
      </w:r>
      <w:r>
        <w:rPr>
          <w:rFonts w:ascii="Arial" w:hAnsi="Arial" w:cs="Arial"/>
          <w:sz w:val="24"/>
          <w:szCs w:val="24"/>
        </w:rPr>
        <w:br/>
      </w:r>
      <w:r w:rsidRPr="00732D50">
        <w:rPr>
          <w:rFonts w:ascii="Arial" w:hAnsi="Arial" w:cs="Arial"/>
          <w:sz w:val="24"/>
          <w:szCs w:val="24"/>
        </w:rPr>
        <w:t>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732D50" w:rsidRPr="00732D50" w:rsidRDefault="00732D50" w:rsidP="00377CE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732D50">
        <w:rPr>
          <w:rFonts w:ascii="Arial" w:hAnsi="Arial" w:cs="Arial"/>
          <w:sz w:val="24"/>
          <w:szCs w:val="24"/>
        </w:rPr>
        <w:br/>
        <w:t>w tym:</w:t>
      </w:r>
    </w:p>
    <w:p w:rsidR="00EA43DF" w:rsidRPr="00732D50" w:rsidRDefault="00732D50" w:rsidP="00114FC7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transportu,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</w:t>
      </w:r>
      <w:r w:rsidR="00CB6F77">
        <w:rPr>
          <w:rFonts w:ascii="Arial" w:hAnsi="Arial" w:cs="Arial"/>
          <w:sz w:val="24"/>
          <w:szCs w:val="24"/>
        </w:rPr>
        <w:t xml:space="preserve"> i rozładunku</w:t>
      </w:r>
      <w:r>
        <w:rPr>
          <w:rFonts w:ascii="Arial" w:hAnsi="Arial" w:cs="Arial"/>
          <w:sz w:val="24"/>
          <w:szCs w:val="24"/>
        </w:rPr>
        <w:t>,</w:t>
      </w:r>
    </w:p>
    <w:p w:rsidR="00FE03EB" w:rsidRPr="00732D50" w:rsidRDefault="00FE03EB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opakowań do pobierania próbek oleju opałowego podczas dostawy,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FE03EB" w:rsidRPr="00FE03EB" w:rsidRDefault="00FE03EB" w:rsidP="00377CE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 xml:space="preserve">Cena oferty ma być podana w polskich złotych, liczbowo i słownie oraz obejmować wszelkie koszty związane z realizacją zamówienia. Koszty, których wykonawca nie ujmie w ofercie, nie zostaną odrębnie opłacone przez zamawiającego i uważać się będzie, że zostały ujęte w ofercie cenowej przedmiotu zamówienia. Cena oferty </w:t>
      </w:r>
      <w:r w:rsidRPr="00FE03EB">
        <w:rPr>
          <w:rFonts w:ascii="Arial" w:hAnsi="Arial" w:cs="Arial"/>
          <w:sz w:val="24"/>
          <w:szCs w:val="24"/>
        </w:rPr>
        <w:lastRenderedPageBreak/>
        <w:t>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:rsidR="00FE03EB" w:rsidRPr="00FE03EB" w:rsidRDefault="00FE03EB" w:rsidP="00377CE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>Cenę oferty należy obliczyć według wskazań tabeli cenowej znajdującej się w kalkulacji ceny.</w:t>
      </w:r>
    </w:p>
    <w:p w:rsidR="00FE03EB" w:rsidRPr="00FE03EB" w:rsidRDefault="00FE03EB" w:rsidP="00377CE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 xml:space="preserve">Jako podstawę do obliczenia ceny dostawy za 1 m³ oleju opałowego lekkiego przyjmuje się cenę netto 1 m³ oleju opałowego lekkiego wyrażoną w złotych polskich umieszczoną na oficjalnej stronie internetowej PKN ORLEN S.A. www.pknorlen.pl z dnia </w:t>
      </w:r>
      <w:r w:rsidRPr="00FE03EB">
        <w:rPr>
          <w:rFonts w:ascii="Arial" w:hAnsi="Arial" w:cs="Arial"/>
          <w:b/>
          <w:sz w:val="24"/>
          <w:szCs w:val="24"/>
        </w:rPr>
        <w:t>2</w:t>
      </w:r>
      <w:r w:rsidR="00382F46">
        <w:rPr>
          <w:rFonts w:ascii="Arial" w:hAnsi="Arial" w:cs="Arial"/>
          <w:b/>
          <w:sz w:val="24"/>
          <w:szCs w:val="24"/>
        </w:rPr>
        <w:t>3</w:t>
      </w:r>
      <w:r w:rsidRPr="00FE03EB">
        <w:rPr>
          <w:rFonts w:ascii="Arial" w:hAnsi="Arial" w:cs="Arial"/>
          <w:b/>
          <w:sz w:val="24"/>
          <w:szCs w:val="24"/>
        </w:rPr>
        <w:t>.09.2021r</w:t>
      </w:r>
      <w:r w:rsidRPr="00FE03EB">
        <w:rPr>
          <w:rFonts w:ascii="Arial" w:hAnsi="Arial" w:cs="Arial"/>
          <w:color w:val="00B050"/>
          <w:sz w:val="24"/>
          <w:szCs w:val="24"/>
        </w:rPr>
        <w:t>.</w:t>
      </w:r>
      <w:r w:rsidRPr="00FE03EB">
        <w:rPr>
          <w:rFonts w:ascii="Arial" w:hAnsi="Arial" w:cs="Arial"/>
          <w:sz w:val="24"/>
          <w:szCs w:val="24"/>
        </w:rPr>
        <w:t xml:space="preserve"> powiększoną o stałą marżę lub pomniejszoną o stały upust wykonawcy za 1 m³ wyrażony w złotych polskich. </w:t>
      </w:r>
    </w:p>
    <w:p w:rsidR="00FE03EB" w:rsidRPr="00FE03EB" w:rsidRDefault="00FE03EB" w:rsidP="00377CE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>Marża / upust podane w ofercie pozostają bez zmian przez cały okres obowiązywania umowy.</w:t>
      </w:r>
    </w:p>
    <w:p w:rsidR="00FE03EB" w:rsidRPr="00FE03EB" w:rsidRDefault="00FE03EB" w:rsidP="00377CE2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b/>
          <w:sz w:val="24"/>
          <w:szCs w:val="24"/>
        </w:rPr>
        <w:t xml:space="preserve">Cenę oferty należy obliczyć następująco: </w:t>
      </w:r>
    </w:p>
    <w:p w:rsidR="00FE03EB" w:rsidRPr="00FE03EB" w:rsidRDefault="00FE03EB" w:rsidP="00377CE2">
      <w:pPr>
        <w:numPr>
          <w:ilvl w:val="1"/>
          <w:numId w:val="3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 xml:space="preserve">w kolumnie nr 3 należy wpisać cenę netto 1 m³ producenta PKN ORLEN S.A. oleju  opałowego lekkiego obowiązującą w dniu </w:t>
      </w:r>
      <w:r w:rsidRPr="00FE03EB">
        <w:rPr>
          <w:rFonts w:ascii="Arial" w:hAnsi="Arial" w:cs="Arial"/>
          <w:b/>
          <w:sz w:val="24"/>
          <w:szCs w:val="24"/>
        </w:rPr>
        <w:t xml:space="preserve"> 2</w:t>
      </w:r>
      <w:r w:rsidR="00382F46">
        <w:rPr>
          <w:rFonts w:ascii="Arial" w:hAnsi="Arial" w:cs="Arial"/>
          <w:b/>
          <w:sz w:val="24"/>
          <w:szCs w:val="24"/>
        </w:rPr>
        <w:t>3</w:t>
      </w:r>
      <w:r w:rsidRPr="00FE03EB">
        <w:rPr>
          <w:rFonts w:ascii="Arial" w:hAnsi="Arial" w:cs="Arial"/>
          <w:b/>
          <w:sz w:val="24"/>
          <w:szCs w:val="24"/>
        </w:rPr>
        <w:t>.09.2021r</w:t>
      </w:r>
      <w:r w:rsidRPr="00FE03EB">
        <w:rPr>
          <w:rFonts w:ascii="Arial" w:hAnsi="Arial" w:cs="Arial"/>
          <w:color w:val="00B050"/>
          <w:sz w:val="24"/>
          <w:szCs w:val="24"/>
        </w:rPr>
        <w:t>.</w:t>
      </w:r>
      <w:r w:rsidRPr="00FE03EB">
        <w:rPr>
          <w:rFonts w:ascii="Arial" w:hAnsi="Arial" w:cs="Arial"/>
          <w:sz w:val="24"/>
          <w:szCs w:val="24"/>
        </w:rPr>
        <w:t xml:space="preserve"> W cenniku PKN ORLEN olej opałowy lekki odpowiada olejowi napędowemu grzewczemu </w:t>
      </w:r>
      <w:proofErr w:type="spellStart"/>
      <w:r w:rsidRPr="00FE03EB">
        <w:rPr>
          <w:rFonts w:ascii="Arial" w:hAnsi="Arial" w:cs="Arial"/>
          <w:sz w:val="24"/>
          <w:szCs w:val="24"/>
        </w:rPr>
        <w:t>Ekoterm</w:t>
      </w:r>
      <w:proofErr w:type="spellEnd"/>
      <w:r w:rsidRPr="00FE03EB">
        <w:rPr>
          <w:rFonts w:ascii="Arial" w:hAnsi="Arial" w:cs="Arial"/>
          <w:sz w:val="24"/>
          <w:szCs w:val="24"/>
        </w:rPr>
        <w:t xml:space="preserve"> Plus.</w:t>
      </w:r>
    </w:p>
    <w:p w:rsidR="00FE03EB" w:rsidRPr="00FE03EB" w:rsidRDefault="00FE03EB" w:rsidP="00377CE2">
      <w:pPr>
        <w:numPr>
          <w:ilvl w:val="1"/>
          <w:numId w:val="3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>w kolumnie nr 4 należy wpisać marżę lub upust wykonawcy, która(y) jest stała(y) przez cały okres obowiązywania umowy,</w:t>
      </w:r>
    </w:p>
    <w:p w:rsidR="00FE03EB" w:rsidRPr="00FE03EB" w:rsidRDefault="00FE03EB" w:rsidP="00377CE2">
      <w:pPr>
        <w:numPr>
          <w:ilvl w:val="1"/>
          <w:numId w:val="3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>w kolumnie nr 5 należy wpisać cenę netto 1 m³ oleju opałowego wraz z marżą/upustem wykonawcy,</w:t>
      </w:r>
    </w:p>
    <w:p w:rsidR="00FE03EB" w:rsidRPr="00FE03EB" w:rsidRDefault="00FE03EB" w:rsidP="00377CE2">
      <w:pPr>
        <w:numPr>
          <w:ilvl w:val="1"/>
          <w:numId w:val="3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>w kolumnie nr 6 należy wpisać wartość netto otrzymaną w wyniku przemnożenia ceny netto 1 m³ oleju opałowego lekkiego wraz z marżą/upustem wykonawcy przez ilość m³ oleju opałowego lekkiego wymaganego przez zamawiającego,</w:t>
      </w:r>
    </w:p>
    <w:p w:rsidR="00FE03EB" w:rsidRPr="00FE03EB" w:rsidRDefault="00FE03EB" w:rsidP="00377CE2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 xml:space="preserve">Otrzymana w wyniku powyższych przeliczeń wartość netto oferty służy jedynie do porównania złożonych ofert. W trakcie realizacji umowy, rozliczenia będą następowały </w:t>
      </w:r>
      <w:r w:rsidRPr="00FE03EB">
        <w:rPr>
          <w:rFonts w:ascii="Arial" w:hAnsi="Arial" w:cs="Arial"/>
          <w:sz w:val="24"/>
          <w:szCs w:val="24"/>
        </w:rPr>
        <w:br/>
        <w:t>w oparciu o rzeczywiste dostawy oleju opałowego lekkiego na podstawie ceny paliwa z dnia wystawienia zamówienia przez zamawiającego (opublikowanej na oficjalnej stronie internetowej PKN ORLEN S.A.), pomniejszonej o zaoferowany upust lub powiększonej o zaproponowaną marżę.</w:t>
      </w:r>
    </w:p>
    <w:p w:rsidR="00FE03EB" w:rsidRPr="00FE03EB" w:rsidRDefault="00FE03EB" w:rsidP="00377CE2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FE03EB">
        <w:rPr>
          <w:rFonts w:ascii="Arial" w:hAnsi="Arial" w:cs="Arial"/>
          <w:sz w:val="24"/>
          <w:szCs w:val="24"/>
        </w:rPr>
        <w:t>Rozliczenia pomiędzy zamawiającym a wykonawcą będą prowadzone w walucie PLN. Cena musi być wyrażona w złotych polskich niezależnie od wchodzących w jej skład elementów. Tak obliczona cena będzie brana pod uwagę przez komisję przetargową w trakcie wyboru najkorzystniejszej oferty.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 xml:space="preserve">terminie do dnia </w:t>
      </w:r>
      <w:r w:rsidR="009C5781">
        <w:rPr>
          <w:rFonts w:ascii="Arial" w:hAnsi="Arial" w:cs="Arial"/>
          <w:b/>
          <w:color w:val="auto"/>
        </w:rPr>
        <w:t>05.10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3D04A4">
        <w:rPr>
          <w:rFonts w:ascii="Arial" w:hAnsi="Arial" w:cs="Arial"/>
          <w:b/>
          <w:color w:val="auto"/>
        </w:rPr>
        <w:t xml:space="preserve"> </w:t>
      </w:r>
      <w:r w:rsidR="009C5781">
        <w:rPr>
          <w:rFonts w:ascii="Arial" w:hAnsi="Arial" w:cs="Arial"/>
          <w:b/>
          <w:color w:val="auto"/>
        </w:rPr>
        <w:t>05.10</w:t>
      </w:r>
      <w:bookmarkStart w:id="7" w:name="_GoBack"/>
      <w:bookmarkEnd w:id="7"/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lastRenderedPageBreak/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377CE2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została złożona po terminie składania ofert</w:t>
      </w:r>
    </w:p>
    <w:p w:rsidR="008F4D0F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377CE2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EE74AE" w:rsidRDefault="00027F5F" w:rsidP="00377C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841F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377CE2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CB6F77" w:rsidRPr="008A2B44" w:rsidRDefault="00CB6F77" w:rsidP="00377CE2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 xml:space="preserve">Jeżeli oferty </w:t>
      </w:r>
      <w:r w:rsidRPr="008A2B44">
        <w:rPr>
          <w:rFonts w:ascii="Arial" w:hAnsi="Arial" w:cs="Arial"/>
          <w:b w:val="0"/>
          <w:bCs w:val="0"/>
        </w:rPr>
        <w:lastRenderedPageBreak/>
        <w:t>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:rsidR="00CB6F77" w:rsidRPr="008A2B44" w:rsidRDefault="00CB6F77" w:rsidP="00377CE2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:rsidR="00CB6F77" w:rsidRPr="008A2B44" w:rsidRDefault="00CB6F77" w:rsidP="00377CE2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:rsidR="0022015F" w:rsidRPr="00CB6F77" w:rsidRDefault="00CB6F77" w:rsidP="00377CE2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377CE2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:rsidR="00F51A9F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377CE2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377CE2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377CE2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C44F94" w:rsidRPr="004635DD" w:rsidRDefault="00C44F94" w:rsidP="00377CE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C44F94" w:rsidRP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>załącznik nr 3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:rsidR="00114FC7" w:rsidRPr="00114FC7" w:rsidRDefault="00114FC7" w:rsidP="00377CE2">
      <w:pPr>
        <w:pStyle w:val="Akapitzlist"/>
        <w:numPr>
          <w:ilvl w:val="1"/>
          <w:numId w:val="8"/>
        </w:numPr>
        <w:tabs>
          <w:tab w:val="clear" w:pos="1440"/>
          <w:tab w:val="num" w:pos="142"/>
          <w:tab w:val="left" w:pos="284"/>
        </w:tabs>
        <w:spacing w:before="12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114FC7">
        <w:rPr>
          <w:rFonts w:ascii="Arial" w:eastAsiaTheme="minorHAnsi" w:hAnsi="Arial" w:cs="Arial"/>
          <w:sz w:val="24"/>
          <w:szCs w:val="24"/>
        </w:rPr>
        <w:t xml:space="preserve">Wraz z dostawą przedmiotu zamówienia wykonawca zobowiązany jest do dostarczenia dokumentacji </w:t>
      </w:r>
      <w:proofErr w:type="spellStart"/>
      <w:r w:rsidRPr="00114FC7">
        <w:rPr>
          <w:rFonts w:ascii="Arial" w:eastAsiaTheme="minorHAnsi" w:hAnsi="Arial" w:cs="Arial"/>
          <w:sz w:val="24"/>
          <w:szCs w:val="24"/>
        </w:rPr>
        <w:t>techniczno</w:t>
      </w:r>
      <w:proofErr w:type="spellEnd"/>
      <w:r w:rsidRPr="00114FC7">
        <w:rPr>
          <w:rFonts w:ascii="Arial" w:eastAsiaTheme="minorHAnsi" w:hAnsi="Arial" w:cs="Arial"/>
          <w:sz w:val="24"/>
          <w:szCs w:val="24"/>
        </w:rPr>
        <w:t xml:space="preserve"> – ruchowej DTR w języku polskim DTR w języku polskim.</w:t>
      </w:r>
    </w:p>
    <w:p w:rsidR="00114FC7" w:rsidRPr="00E63B8E" w:rsidRDefault="00114FC7" w:rsidP="00377CE2">
      <w:pPr>
        <w:pStyle w:val="Akapitzlist"/>
        <w:numPr>
          <w:ilvl w:val="1"/>
          <w:numId w:val="8"/>
        </w:numPr>
        <w:tabs>
          <w:tab w:val="clear" w:pos="1440"/>
          <w:tab w:val="num" w:pos="142"/>
          <w:tab w:val="left" w:pos="284"/>
        </w:tabs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E63B8E">
        <w:rPr>
          <w:rFonts w:ascii="Arial" w:eastAsiaTheme="minorHAnsi" w:hAnsi="Arial" w:cs="Arial"/>
          <w:sz w:val="24"/>
          <w:szCs w:val="24"/>
        </w:rPr>
        <w:t>Dla przedmiotu zamówienia winna być wystawiona deklaracja zgodności potwierdzająca zgodność przedmiotu zamówienia z właściwymi normami i pozwalająca na znakowanie przedmiotu zamówienia znakiem CE. Deklaracja zgodności zostanie dostarczona przy dostawie przedmiotu zamówienia;</w:t>
      </w:r>
    </w:p>
    <w:p w:rsidR="00114FC7" w:rsidRPr="00E63B8E" w:rsidRDefault="00114FC7" w:rsidP="00377CE2">
      <w:pPr>
        <w:pStyle w:val="Akapitzlist"/>
        <w:numPr>
          <w:ilvl w:val="1"/>
          <w:numId w:val="8"/>
        </w:numPr>
        <w:tabs>
          <w:tab w:val="clear" w:pos="1440"/>
          <w:tab w:val="num" w:pos="142"/>
          <w:tab w:val="left" w:pos="284"/>
        </w:tabs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E63B8E">
        <w:rPr>
          <w:rFonts w:ascii="Arial" w:eastAsiaTheme="minorHAnsi" w:hAnsi="Arial" w:cs="Arial"/>
          <w:sz w:val="24"/>
          <w:szCs w:val="24"/>
        </w:rPr>
        <w:t>Min. 12 miesięczna gwarancja licząc od daty dostawy do zamawiającego;</w:t>
      </w:r>
    </w:p>
    <w:p w:rsidR="00114FC7" w:rsidRPr="00E63B8E" w:rsidRDefault="00114FC7" w:rsidP="00377CE2">
      <w:pPr>
        <w:pStyle w:val="Akapitzlist"/>
        <w:numPr>
          <w:ilvl w:val="1"/>
          <w:numId w:val="8"/>
        </w:numPr>
        <w:tabs>
          <w:tab w:val="clear" w:pos="1440"/>
          <w:tab w:val="num" w:pos="142"/>
          <w:tab w:val="left" w:pos="284"/>
        </w:tabs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E63B8E">
        <w:rPr>
          <w:rFonts w:ascii="Arial" w:eastAsiaTheme="minorHAnsi" w:hAnsi="Arial" w:cs="Arial"/>
          <w:sz w:val="24"/>
          <w:szCs w:val="24"/>
        </w:rPr>
        <w:t>Serwis gwarancyjny i pogwarancyjny na terenie Polski.</w:t>
      </w: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7AFB" w:rsidRPr="00A97AFB" w:rsidRDefault="00CF2368" w:rsidP="00377CE2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:rsidR="00CE4969" w:rsidRDefault="00CE4969" w:rsidP="00905F4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Przedmiotem zamówienia są sukcesywne dostawy oleju opałowego lekkiego PN-C-96024:2011 w gatunku L-1 dla potrzeb Oczyszczalni Ścieków „Pomorzany”, „Zdroje” ZWiK Spółka z o.o. w Szczecinie o następujących minimalnych parametrach:</w:t>
      </w:r>
    </w:p>
    <w:p w:rsidR="00905F4F" w:rsidRPr="00905F4F" w:rsidRDefault="00905F4F" w:rsidP="00905F4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Minimalne (zgodne z Polską Normą PN-C-96024:2011) parametry fizyko - chemiczne, jakim musi odpowiadać dostarczany olej opałowy lekki L-1: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1)</w:t>
      </w:r>
      <w:r w:rsidRPr="00CE4969">
        <w:rPr>
          <w:rFonts w:ascii="Arial" w:hAnsi="Arial" w:cs="Arial"/>
          <w:sz w:val="24"/>
          <w:szCs w:val="24"/>
        </w:rPr>
        <w:tab/>
        <w:t>Gęstość w temperaturze 15º C max. 860 kg/m³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2)</w:t>
      </w:r>
      <w:r w:rsidRPr="00CE4969">
        <w:rPr>
          <w:rFonts w:ascii="Arial" w:hAnsi="Arial" w:cs="Arial"/>
          <w:sz w:val="24"/>
          <w:szCs w:val="24"/>
        </w:rPr>
        <w:tab/>
        <w:t>Wartość opałowa min. 42,6 MJ/kg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3)</w:t>
      </w:r>
      <w:r w:rsidRPr="00CE4969">
        <w:rPr>
          <w:rFonts w:ascii="Arial" w:hAnsi="Arial" w:cs="Arial"/>
          <w:sz w:val="24"/>
          <w:szCs w:val="24"/>
        </w:rPr>
        <w:tab/>
        <w:t>Temperatura zapłonu min. 56º C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4)</w:t>
      </w:r>
      <w:r w:rsidRPr="00CE4969">
        <w:rPr>
          <w:rFonts w:ascii="Arial" w:hAnsi="Arial" w:cs="Arial"/>
          <w:sz w:val="24"/>
          <w:szCs w:val="24"/>
        </w:rPr>
        <w:tab/>
        <w:t>Lepkość kinematyczna w 20º C max. 6,00 mm²/s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5)</w:t>
      </w:r>
      <w:r w:rsidRPr="00CE4969">
        <w:rPr>
          <w:rFonts w:ascii="Arial" w:hAnsi="Arial" w:cs="Arial"/>
          <w:sz w:val="24"/>
          <w:szCs w:val="24"/>
        </w:rPr>
        <w:tab/>
        <w:t xml:space="preserve">Skład frakcyjny do 250º C destyluje max. 65 % 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6)</w:t>
      </w:r>
      <w:r w:rsidRPr="00CE4969">
        <w:rPr>
          <w:rFonts w:ascii="Arial" w:hAnsi="Arial" w:cs="Arial"/>
          <w:sz w:val="24"/>
          <w:szCs w:val="24"/>
        </w:rPr>
        <w:tab/>
        <w:t xml:space="preserve">Skład frakcyjny do 350º C destyluje min. 85 % 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7)</w:t>
      </w:r>
      <w:r w:rsidRPr="00CE4969">
        <w:rPr>
          <w:rFonts w:ascii="Arial" w:hAnsi="Arial" w:cs="Arial"/>
          <w:sz w:val="24"/>
          <w:szCs w:val="24"/>
        </w:rPr>
        <w:tab/>
        <w:t>Temperatura płynięcia max. -20º C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8)</w:t>
      </w:r>
      <w:r w:rsidRPr="00CE4969">
        <w:rPr>
          <w:rFonts w:ascii="Arial" w:hAnsi="Arial" w:cs="Arial"/>
          <w:sz w:val="24"/>
          <w:szCs w:val="24"/>
        </w:rPr>
        <w:tab/>
        <w:t>Pozostałość po koksowaniu z 10% pozostałości destylacyjnej max. 0,3%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lastRenderedPageBreak/>
        <w:t>9)</w:t>
      </w:r>
      <w:r w:rsidRPr="00CE4969">
        <w:rPr>
          <w:rFonts w:ascii="Arial" w:hAnsi="Arial" w:cs="Arial"/>
          <w:sz w:val="24"/>
          <w:szCs w:val="24"/>
        </w:rPr>
        <w:tab/>
        <w:t xml:space="preserve">Zawartość siarki max. 0,10% 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10)</w:t>
      </w:r>
      <w:r w:rsidRPr="00CE4969">
        <w:rPr>
          <w:rFonts w:ascii="Arial" w:hAnsi="Arial" w:cs="Arial"/>
          <w:sz w:val="24"/>
          <w:szCs w:val="24"/>
        </w:rPr>
        <w:tab/>
        <w:t>Zawartość wody max. 200 mg/kg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11)</w:t>
      </w:r>
      <w:r w:rsidRPr="00CE4969">
        <w:rPr>
          <w:rFonts w:ascii="Arial" w:hAnsi="Arial" w:cs="Arial"/>
          <w:sz w:val="24"/>
          <w:szCs w:val="24"/>
        </w:rPr>
        <w:tab/>
        <w:t>Zawartość zanieczyszczeń stałych max. 24 mg/kg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12)</w:t>
      </w:r>
      <w:r w:rsidRPr="00CE4969">
        <w:rPr>
          <w:rFonts w:ascii="Arial" w:hAnsi="Arial" w:cs="Arial"/>
          <w:sz w:val="24"/>
          <w:szCs w:val="24"/>
        </w:rPr>
        <w:tab/>
        <w:t>Pozostałość po spopieleniu max. 0,01%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13)</w:t>
      </w:r>
      <w:r w:rsidRPr="00CE4969">
        <w:rPr>
          <w:rFonts w:ascii="Arial" w:hAnsi="Arial" w:cs="Arial"/>
          <w:sz w:val="24"/>
          <w:szCs w:val="24"/>
        </w:rPr>
        <w:tab/>
        <w:t>Odporność na utlenianie max. 25 g/ m³</w:t>
      </w:r>
    </w:p>
    <w:p w:rsidR="00CE4969" w:rsidRPr="00CE4969" w:rsidRDefault="00CE4969" w:rsidP="00905F4F">
      <w:pPr>
        <w:pStyle w:val="Akapitzlist"/>
        <w:ind w:left="1418" w:hanging="698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14)</w:t>
      </w:r>
      <w:r w:rsidRPr="00CE4969">
        <w:rPr>
          <w:rFonts w:ascii="Arial" w:hAnsi="Arial" w:cs="Arial"/>
          <w:sz w:val="24"/>
          <w:szCs w:val="24"/>
        </w:rPr>
        <w:tab/>
        <w:t>Smarność skorygowana średnicą śladu zużycia w temp. 60º C max. 460µm</w:t>
      </w:r>
    </w:p>
    <w:p w:rsidR="00CE4969" w:rsidRPr="00CE4969" w:rsidRDefault="00CE4969" w:rsidP="00CE496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E4969">
        <w:rPr>
          <w:rFonts w:ascii="Arial" w:hAnsi="Arial" w:cs="Arial"/>
          <w:sz w:val="24"/>
          <w:szCs w:val="24"/>
        </w:rPr>
        <w:t>15)</w:t>
      </w:r>
      <w:r w:rsidRPr="00CE4969">
        <w:rPr>
          <w:rFonts w:ascii="Arial" w:hAnsi="Arial" w:cs="Arial"/>
          <w:sz w:val="24"/>
          <w:szCs w:val="24"/>
        </w:rPr>
        <w:tab/>
        <w:t>Barwa - czerwona</w:t>
      </w:r>
    </w:p>
    <w:p w:rsidR="00CE4969" w:rsidRPr="00CE4969" w:rsidRDefault="00CE4969" w:rsidP="00CE4969">
      <w:pPr>
        <w:ind w:firstLine="360"/>
        <w:jc w:val="both"/>
        <w:rPr>
          <w:rFonts w:ascii="Arial" w:hAnsi="Arial" w:cs="Arial"/>
        </w:rPr>
      </w:pPr>
      <w:r w:rsidRPr="00CE4969">
        <w:rPr>
          <w:rFonts w:ascii="Arial" w:hAnsi="Arial" w:cs="Arial"/>
        </w:rPr>
        <w:t>Barwa - czerwona*</w:t>
      </w:r>
    </w:p>
    <w:p w:rsidR="00CE4969" w:rsidRPr="00CE4969" w:rsidRDefault="00CE4969" w:rsidP="00CE4969">
      <w:pPr>
        <w:ind w:left="360"/>
        <w:jc w:val="both"/>
        <w:rPr>
          <w:rFonts w:ascii="Arial" w:hAnsi="Arial" w:cs="Arial"/>
        </w:rPr>
      </w:pPr>
      <w:r w:rsidRPr="00CE4969">
        <w:rPr>
          <w:rFonts w:ascii="Arial" w:hAnsi="Arial" w:cs="Arial"/>
        </w:rPr>
        <w:t>* Parametry znacznika oraz barwnika czerwonego zgodne z rozporządzeniem Ministra Finansów z dnia 20 sierpnia 2010r. w sprawie znakowania i barwienia wyrobów energetycznych (Dz. U. z 2010 Nr 157, poz. 1054).</w:t>
      </w:r>
    </w:p>
    <w:p w:rsidR="00081538" w:rsidRPr="00081538" w:rsidRDefault="00081538" w:rsidP="00081538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53FD5" w:rsidRPr="00314B87" w:rsidRDefault="00953FD5" w:rsidP="00377CE2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4B87">
        <w:rPr>
          <w:rFonts w:ascii="Arial" w:hAnsi="Arial" w:cs="Arial"/>
          <w:b/>
          <w:bCs/>
          <w:sz w:val="24"/>
          <w:szCs w:val="24"/>
        </w:rPr>
        <w:t>Zakres zamówienia obejmuje</w:t>
      </w:r>
      <w:r w:rsidRPr="00314B87">
        <w:rPr>
          <w:rFonts w:ascii="Arial" w:hAnsi="Arial" w:cs="Arial"/>
          <w:b/>
          <w:sz w:val="24"/>
          <w:szCs w:val="24"/>
        </w:rPr>
        <w:t>:</w:t>
      </w:r>
    </w:p>
    <w:p w:rsidR="00CE4969" w:rsidRPr="00CE4969" w:rsidRDefault="00CE4969" w:rsidP="00CE4969">
      <w:pPr>
        <w:tabs>
          <w:tab w:val="left" w:pos="426"/>
        </w:tabs>
        <w:ind w:left="360" w:hanging="36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1.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Sukcesywne dostawy oleju opałowego lekkiego realizowane na podstawie zamówień składanych przez uprawnionego pracownika Działu Zaopatrzenia do placówek:</w:t>
      </w:r>
    </w:p>
    <w:p w:rsidR="00CE4969" w:rsidRPr="00CE4969" w:rsidRDefault="00CE4969" w:rsidP="00377CE2">
      <w:pPr>
        <w:numPr>
          <w:ilvl w:val="0"/>
          <w:numId w:val="33"/>
        </w:numPr>
        <w:tabs>
          <w:tab w:val="left" w:pos="426"/>
        </w:tabs>
        <w:contextualSpacing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Oczyszczalnia Ścieków „Pomorzany” przy ul. Tama Pomorzańska 8 w Szczecinie. Tankowanie odbywać się będzie do dwóch zbiorników o pojemności 13m³ i 20m³. Dostawy w pojazdach - cysternach bez ograniczeń DMC. Warunki dojazdu - drogi wewnętrzne asfaltowe. Na potrzeby Oczyszczalni Ścieków „Pomorzany” każdorazowa dostawa oleju opałowego lekkiego będzie wynosić od 5 m³ do 30 m³ realizowana jednym transportem w godzinach 7.00- 13.00.</w:t>
      </w:r>
    </w:p>
    <w:p w:rsidR="00CE4969" w:rsidRPr="00CE4969" w:rsidRDefault="00CE4969" w:rsidP="00377CE2">
      <w:pPr>
        <w:numPr>
          <w:ilvl w:val="0"/>
          <w:numId w:val="33"/>
        </w:numPr>
        <w:tabs>
          <w:tab w:val="left" w:pos="426"/>
        </w:tabs>
        <w:ind w:left="714" w:hanging="357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Oczyszczalnia Ścieków „Zdroje” przy ul. Wspólna 43 w Szczecinie. Tankowanie odbywać się będzie do zbiornika o pojemności 30 m³. Dostawy w pojazdach - cysternach bez ograniczeń DMC. Warunki dojazdu drogi wewnętrzne asfaltowe. Na potrzeby Oczyszczalni Ścieków „Zdroje” każdorazowa dostawa oleju opałowego lekkiego będzie wynosić od 5m³ do 30 m³ realizowana jednym transportem w godzinach 7.00- 13.00.</w:t>
      </w:r>
    </w:p>
    <w:p w:rsidR="00CE4969" w:rsidRPr="00A94D9A" w:rsidRDefault="00CE4969" w:rsidP="00377CE2">
      <w:pPr>
        <w:pStyle w:val="Akapitzlist"/>
        <w:numPr>
          <w:ilvl w:val="2"/>
          <w:numId w:val="32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4"/>
        </w:rPr>
      </w:pPr>
      <w:r w:rsidRPr="00A94D9A">
        <w:rPr>
          <w:rFonts w:ascii="Arial" w:eastAsiaTheme="minorHAnsi" w:hAnsi="Arial" w:cs="Arial"/>
          <w:sz w:val="24"/>
        </w:rPr>
        <w:t>W okresie obowiązywania umowy zamówienia będą składane drogą elektroniczną i będą określały asortyment, i ilości wynikające z bieżących potrzeb zamawiającego. 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Dostawy będą realizowane w dni wyznaczone przez zamawiającego w zamówieniu (możliwość realizacji zamówienia w dni powszednie w godz. 7.00-13.00). Zamawiający zobowiązuje się składać zamówienia z wyprzedzeniem 2 dni liczonych do daty realizacji dostawy. Wykonawca potwierdzi przyjęcie zamówienia do realizacji drogą elektroniczną. 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Wykonawca zobowiązany jest do przekazania zamawiającemu wszystkich informacji wymaganych ustawą o systemie monitorowania drogowego i kolejowego przewozu towarów oraz obrotu paliwami opałowymi (Dz.U. 2020 poz. 859 ze zm.).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lastRenderedPageBreak/>
        <w:t>Zamawiający informuje, iż osoby odbierające w imieniu zamawiającego olej opałowy lekki posiadają stosowne pełnomocnictwa i są zarejestrowanymi użytkownikami Platformy Usług Elektronicznych Skarbowo – Celnych (SENT).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Rozliczenie każdorazowego tankowania odbywać się będzie w oparciu o ilości rzeczywiste zatankowanego oleju opałowego lekkiego według wskazania legalizowanego przepływomierza w odniesieniu do temperatury referencyjnej +15º C. Odbioru dostarczonego oleju opałowego lekkiego dokonają przedstawiciele zamawiającego w miejscach wykonania umowy, potwierdzając fakt dostawy własnoręcznym podpisem na dokumencie dostawy (WZ, i potwierdzeniu z drukarki będącej na wyposażeniu pojazdu -cysterny).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Dostarczana ilość oleju opałowego lekkiego winna być fakturowana zgodnie z objętościowym systemem sprzedaży paliw tj. w (m³) w temperaturze referencyjnej +15º C. Podstawą wystawienia faktury VAT jest dokument dostawy WZ i potwierdzenie (kwit) z drukarki pojazdu - cysterny pokwitowany przez przedstawicieli zamawiającego odbierających olej opałowy lekki w miejscach wykonania umowy, którymi są placówki zamawiającego. Na dokumencie z drukarki pojazdu – cysterny winna być wskazana gęstość produktu 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br/>
        <w:t>w temperaturze +15º C oraz gęstość produktu w temperaturze rzeczywistej.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Wykonawca zobowiązany jest do każdorazowego przekazania zamawiającemu oryginału dokumentu WZ i oryginału potwierdzenia (kwitu) z drukarki pojazdu – cysterny, przy każdej dostawie oleju opałowego lekkiego.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Zamawiający zobowiązuje się do podpisywania i przekazywania wykonawcy oświadczeń wynikających z Ustawy z dnia 6 grudnia 2008r. o podatku akcyzowym (Dz. U z 2020r., poz. 722 ze zm.) dot. zakupu oleju opałowego lekkiego z obniżoną stawką akcyzy, po każdorazowej zrealizowanej dostawie oleju opałowego lekkiego.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Zamawiający zastrzega sobie prawo zmniejszenia ilości oleju opałowego lekkiego wskazanej powyżej o 50%. Wykonawcy nie będą przysługiwały z tego tytułu, w stosunku do zamawiającego, jakiekolwiek roszczenia. Ostateczna ilość wynikać będzie z zamówień złożonych przez zamawiającego w okresie trwania umowy. Określone powyżej ilości są ilościami szacunkowymi (prognozowanymi), a jednocześnie maksymalnymi.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Przedmiot zamówienia ma być dostarczony transportem wykonawcy na jego koszt i staranie  do placówek zamawiającego wskazanych w pkt 1 </w:t>
      </w:r>
      <w:proofErr w:type="spellStart"/>
      <w:r w:rsidRPr="00CE4969">
        <w:rPr>
          <w:rFonts w:ascii="Arial" w:eastAsiaTheme="minorHAnsi" w:hAnsi="Arial" w:cs="Arial"/>
          <w:sz w:val="24"/>
          <w:szCs w:val="22"/>
          <w:lang w:eastAsia="en-US"/>
        </w:rPr>
        <w:t>ppkt</w:t>
      </w:r>
      <w:proofErr w:type="spellEnd"/>
      <w:r w:rsidRPr="00CE4969">
        <w:rPr>
          <w:rFonts w:ascii="Arial" w:eastAsiaTheme="minorHAnsi" w:hAnsi="Arial" w:cs="Arial"/>
          <w:sz w:val="24"/>
          <w:szCs w:val="22"/>
          <w:lang w:eastAsia="en-US"/>
        </w:rPr>
        <w:t>. 1 i 2. Dostawy mają być realizowane przy użyciu pojazdów - cystern, zgodnie z wszelkimi warunkami wykonywania przewozu towarów niebezpiecznych, zgodnie z obowiązującymi przepisami ADR oraz ustawy o przewozie towarów niebezpiecznych (Dz. U. 2021 poz. 756). Pojazdy - cysterny mają być wyposażone w układ dystrybucyjny tj.: legalizowany przepływomierz, drukarkę drukującą dokument określający ilość paliwa w referencyjnych warunkach +15º C, pompę oraz niezbędne węże i oprzyrządowanie umożliwiające dokonanie rozładunku.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Przy każdej dostawie oleju opałowego lekkiego będą pobierane próbki oleju opałowego lekkiego z pojazdu - cysterny przez wykonawcę (kierowcę pojazdu – cysterny), do jednorazowych, plastikowych, przezroczystych, bezzwrotnych, zaplombowanych pojemników dostarczonych przez wykonawcę, zgodnie z normą PN-EN ISO 3170:2006 wyłącznie na terenie miejsca rozładunku zamawiającego przed rozładunkiem do zbiorników w obecności przedstawiciela zamawiającego. Pobrane próbki zostaną zabezpieczone w sposób uniemożliwiający ich otwarcie bez naruszenia plomb założonych i potwierdzonych przez zamawiającego oraz upoważnionego przedstawiciela wykonawcy. W przypadku dostawy oleju 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lastRenderedPageBreak/>
        <w:t>opałowego lekkiego więcej niż jednym pojazdem – cysterną próbki zostaną pobrane z każdego pojazdu – cysterny.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Rozładunek oleju opałowego lekkiego z pojazdu – cysterny do zbiornika magazynowego wykonuje kierowca pojazdu - cysterny we współpracy i pod nadzorem przedstawiciela zamawiającego.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color w:val="FF0000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Przed rozładunkiem oleju opałowego lekkiego kierowca pojazdu - cysterny jest zobowiązany do okazania uprawnionemu pracownikowi zamawiającego:</w:t>
      </w:r>
    </w:p>
    <w:p w:rsidR="00CE4969" w:rsidRPr="00CE4969" w:rsidRDefault="00CE4969" w:rsidP="00CE4969">
      <w:pPr>
        <w:tabs>
          <w:tab w:val="left" w:pos="426"/>
        </w:tabs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1)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uprawnienia ADR do przewozu towarów niebezpiecznych w cysternach,</w:t>
      </w:r>
    </w:p>
    <w:p w:rsidR="00CE4969" w:rsidRPr="00CE4969" w:rsidRDefault="00CE4969" w:rsidP="00CE4969">
      <w:pPr>
        <w:tabs>
          <w:tab w:val="left" w:pos="426"/>
        </w:tabs>
        <w:ind w:left="708" w:hanging="708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2)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 xml:space="preserve">świadectwa dopuszczenia pojazdu do przewozu niektórych towarów niebezpiecznych, </w:t>
      </w:r>
    </w:p>
    <w:p w:rsidR="00CE4969" w:rsidRPr="00CE4969" w:rsidRDefault="00CE4969" w:rsidP="00CE4969">
      <w:pPr>
        <w:tabs>
          <w:tab w:val="left" w:pos="426"/>
        </w:tabs>
        <w:ind w:left="708" w:hanging="708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oraz do przekazania pracownikowi zamawiającego:</w:t>
      </w:r>
    </w:p>
    <w:p w:rsidR="00CE4969" w:rsidRPr="00CE4969" w:rsidRDefault="00CE4969" w:rsidP="00CE4969">
      <w:pPr>
        <w:tabs>
          <w:tab w:val="left" w:pos="426"/>
        </w:tabs>
        <w:ind w:left="708" w:hanging="708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3)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dokumentu wymaganego ustawą z dnia 9 marca 2017r o systemie monitorowania drogowego przewozu towarów oraz obrotu paliwami opałowymi (Dz.U. 2020 poz. 859 ze zm.).</w:t>
      </w:r>
    </w:p>
    <w:p w:rsidR="00CE4969" w:rsidRPr="00CE4969" w:rsidRDefault="00CE4969" w:rsidP="00CE4969">
      <w:pPr>
        <w:tabs>
          <w:tab w:val="left" w:pos="426"/>
        </w:tabs>
        <w:ind w:left="708" w:hanging="708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4)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tab/>
        <w:t>orzeczenia laboratoryjnego lub świadectwa jakości oleju opałowego lekkiego lub certyfikatu jakości oleju opałowego lekkiego dla każdej partii dostarczonego oleju opałowego, wystawionego przez akredytowane laboratorium do przeprowadzania badań.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Kierowca pojazdu – cysterny przed przystąpieniem do czynności rozładunku oleju opałowego lekkiego zobowiązany jest do wprowadzenia w obecności przedstawiciela zamawiającego do przepływomierza (licznika), gęstości dostarczonego oleju opałowego lekkiego wskazanej w dokumencie (chyba że samochód posiada przepływomierz mierzący gęstość), o którym mowa w pkt. 14 </w:t>
      </w:r>
      <w:proofErr w:type="spellStart"/>
      <w:r w:rsidRPr="00CE4969">
        <w:rPr>
          <w:rFonts w:ascii="Arial" w:eastAsiaTheme="minorHAnsi" w:hAnsi="Arial" w:cs="Arial"/>
          <w:sz w:val="24"/>
          <w:szCs w:val="22"/>
          <w:lang w:eastAsia="en-US"/>
        </w:rPr>
        <w:t>ppk</w:t>
      </w:r>
      <w:r w:rsidR="00A94D9A">
        <w:rPr>
          <w:rFonts w:ascii="Arial" w:eastAsiaTheme="minorHAnsi" w:hAnsi="Arial" w:cs="Arial"/>
          <w:sz w:val="24"/>
          <w:szCs w:val="22"/>
          <w:lang w:eastAsia="en-US"/>
        </w:rPr>
        <w:t>t</w:t>
      </w:r>
      <w:proofErr w:type="spellEnd"/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 4, oraz ustawienia przepływomierza (licznika), do zatankowania ilości wskazanej w złożonym przez zamawiającego zamówieniu. W przypadku braku możliwości wprowadzenia parametru gęstości do przepływomierza (licznika), wykonawca dodatkowo dostarczy dowód nalewu (wydania) z terminala paliwowego, na którym będzie podana gęstość dostarczonego produktu.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Za czynności rozładunku oleju opałowego lekkiego na terenie zakładu zamawiającego ponosi odpowiedzialność wykonawca, w szczególności kierowca wykonawcy (lub osoba wyznaczona przez wykonawcę), posiadający stosowne upoważnienia i wymagane dokumenty, który obsługuje pojazd - cysternę  zawierający towar niebezpieczny i podłącza osobiście wąż będący na wyposażeniu wykonawcy do punktu rozładunku, przestrzegając przy tym wszelkich środków ostrożności. 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Zamawiający dopuszcza możliwość przekroczenia ilości zatankowanego oleju opałowego lekkiego w stosunku do ilości wskazanej w złożonym zamówieniu o max. 50 litrów. Jeżeli ilość zatankowanego oleju opałowego lekkiego będzie przekraczała dopuszczalne odchylenie, (a nie było to uzgodnione z zamawiającym) zamawiający zapłaci tylko za ilość zamówioną wskazaną w złożonym zamówieniu. W takim przypadku wykonawcy nie będą przysługiwały z tego tytułu, w stosunku do zamawiającego, jakiekolwiek roszczenia.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Zamawiający zastrzega sobie prawo przebadania dowolnej próbki dostarczonego oleju opałowego lekkiego pod kątem zgodności z przekazanym zamawiającemu orzeczeniem laboratoryjnym lub świadectwem jakości lub certyfikatem jakości. Badanie zostanie przeprowadzone przez akredytowane laboratorium do przeprowadzania badań. 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 xml:space="preserve">W przypadku rozbieżności pomiędzy parametrem gęstości badanej próbki a gęstością wskazaną w przekazanym zamawiającemu orzeczeniu laboratoryjnym lub świadectwie jakości lub certyfikacie jakości, zamawiający naliczy wykonawcy </w:t>
      </w:r>
      <w:r w:rsidRPr="00CE4969">
        <w:rPr>
          <w:rFonts w:ascii="Arial" w:eastAsiaTheme="minorHAnsi" w:hAnsi="Arial" w:cs="Arial"/>
          <w:sz w:val="24"/>
          <w:szCs w:val="22"/>
          <w:lang w:eastAsia="en-US"/>
        </w:rPr>
        <w:lastRenderedPageBreak/>
        <w:t xml:space="preserve">karę umowną w wysokości 500 zł za dostarczony produkt niezgodny z przekazanym orzeczeniem laboratoryjnym lub świadectwem jakości lub certyfikatem jakości. 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5" w:hanging="425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Zamawiający uzna rozbieżności pomiędzy wystawionym świadectwem jakości dołączonym do dostawy a wynikami badań pobranej próbki z dostawy w granicach różnic dopuszczonych metodami badawczymi,  zgodnie z aktualnie obowiązującą normą PN-EN ISO 3675, PN-EN ISO 12185.</w:t>
      </w:r>
    </w:p>
    <w:p w:rsidR="00CE4969" w:rsidRPr="00CE4969" w:rsidRDefault="00CE4969" w:rsidP="00377CE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CE4969">
        <w:rPr>
          <w:rFonts w:ascii="Arial" w:eastAsiaTheme="minorHAnsi" w:hAnsi="Arial" w:cs="Arial"/>
          <w:sz w:val="24"/>
          <w:szCs w:val="22"/>
          <w:lang w:eastAsia="en-US"/>
        </w:rPr>
        <w:t>Zapłata odbywać się będzie na podstawie faktur VAT płatnych przelewem z rachunku zamawiającego, w terminie 30 dni od dnia otrzymania prawidłowo wystawionej faktury VAT, w mechanizmie podzielonej płatności. Wykonawca ma obowiązek wystawić fakturę VAT z właściwą obowiązującą stawką podatku VAT</w:t>
      </w:r>
      <w:r>
        <w:rPr>
          <w:rFonts w:ascii="Arial" w:eastAsiaTheme="minorHAnsi" w:hAnsi="Arial" w:cs="Arial"/>
          <w:sz w:val="24"/>
          <w:szCs w:val="22"/>
          <w:lang w:eastAsia="en-US"/>
        </w:rPr>
        <w:t>.</w:t>
      </w:r>
    </w:p>
    <w:p w:rsidR="00A970EF" w:rsidRPr="00A970EF" w:rsidRDefault="00A970EF" w:rsidP="00377CE2">
      <w:pPr>
        <w:pStyle w:val="Akapitzlist"/>
        <w:numPr>
          <w:ilvl w:val="0"/>
          <w:numId w:val="29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943FC3" w:rsidRDefault="00F55C3B" w:rsidP="00A1618C">
      <w:pPr>
        <w:pStyle w:val="Akapitzlist"/>
        <w:shd w:val="clear" w:color="auto" w:fill="FFFFFF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AD7A96" w:rsidRPr="00A6346D" w:rsidRDefault="00AD7A96" w:rsidP="00377CE2">
      <w:pPr>
        <w:pStyle w:val="Akapitzlist"/>
        <w:numPr>
          <w:ilvl w:val="0"/>
          <w:numId w:val="30"/>
        </w:numPr>
        <w:shd w:val="clear" w:color="auto" w:fill="FFFFFF"/>
        <w:spacing w:before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6D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C44F94" w:rsidRDefault="00C44F94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04F53" w:rsidRPr="00245A45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FA" w:rsidRDefault="001260FA" w:rsidP="00EF0384">
      <w:r>
        <w:separator/>
      </w:r>
    </w:p>
  </w:endnote>
  <w:endnote w:type="continuationSeparator" w:id="0">
    <w:p w:rsidR="001260FA" w:rsidRDefault="001260F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FA" w:rsidRDefault="001260FA" w:rsidP="00EF0384">
      <w:r>
        <w:separator/>
      </w:r>
    </w:p>
  </w:footnote>
  <w:footnote w:type="continuationSeparator" w:id="0">
    <w:p w:rsidR="001260FA" w:rsidRDefault="001260F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FE03EB">
      <w:rPr>
        <w:rFonts w:ascii="Arial" w:hAnsi="Arial" w:cs="Arial"/>
        <w:b/>
      </w:rPr>
      <w:t>43</w:t>
    </w:r>
    <w:r>
      <w:rPr>
        <w:rFonts w:ascii="Arial" w:hAnsi="Arial" w:cs="Arial"/>
        <w:b/>
      </w:rPr>
      <w:t>/2021</w:t>
    </w:r>
  </w:p>
  <w:p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0D7344F"/>
    <w:multiLevelType w:val="hybridMultilevel"/>
    <w:tmpl w:val="04F46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74F1B"/>
    <w:multiLevelType w:val="multilevel"/>
    <w:tmpl w:val="E418FB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D43776"/>
    <w:multiLevelType w:val="hybridMultilevel"/>
    <w:tmpl w:val="2D50A7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63ACE1E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5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6"/>
  </w:num>
  <w:num w:numId="4">
    <w:abstractNumId w:val="15"/>
  </w:num>
  <w:num w:numId="5">
    <w:abstractNumId w:val="34"/>
  </w:num>
  <w:num w:numId="6">
    <w:abstractNumId w:val="27"/>
  </w:num>
  <w:num w:numId="7">
    <w:abstractNumId w:val="44"/>
    <w:lvlOverride w:ilvl="0">
      <w:startOverride w:val="1"/>
    </w:lvlOverride>
  </w:num>
  <w:num w:numId="8">
    <w:abstractNumId w:val="23"/>
  </w:num>
  <w:num w:numId="9">
    <w:abstractNumId w:val="14"/>
  </w:num>
  <w:num w:numId="10">
    <w:abstractNumId w:val="42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36"/>
  </w:num>
  <w:num w:numId="15">
    <w:abstractNumId w:val="16"/>
  </w:num>
  <w:num w:numId="16">
    <w:abstractNumId w:val="41"/>
  </w:num>
  <w:num w:numId="17">
    <w:abstractNumId w:val="47"/>
  </w:num>
  <w:num w:numId="18">
    <w:abstractNumId w:val="45"/>
  </w:num>
  <w:num w:numId="19">
    <w:abstractNumId w:val="24"/>
  </w:num>
  <w:num w:numId="20">
    <w:abstractNumId w:val="8"/>
  </w:num>
  <w:num w:numId="21">
    <w:abstractNumId w:val="19"/>
  </w:num>
  <w:num w:numId="22">
    <w:abstractNumId w:val="17"/>
  </w:num>
  <w:num w:numId="23">
    <w:abstractNumId w:val="29"/>
  </w:num>
  <w:num w:numId="24">
    <w:abstractNumId w:val="30"/>
  </w:num>
  <w:num w:numId="25">
    <w:abstractNumId w:val="28"/>
  </w:num>
  <w:num w:numId="26">
    <w:abstractNumId w:val="35"/>
  </w:num>
  <w:num w:numId="27">
    <w:abstractNumId w:val="21"/>
  </w:num>
  <w:num w:numId="28">
    <w:abstractNumId w:val="37"/>
  </w:num>
  <w:num w:numId="29">
    <w:abstractNumId w:val="40"/>
  </w:num>
  <w:num w:numId="30">
    <w:abstractNumId w:val="32"/>
  </w:num>
  <w:num w:numId="31">
    <w:abstractNumId w:val="12"/>
  </w:num>
  <w:num w:numId="32">
    <w:abstractNumId w:val="38"/>
  </w:num>
  <w:num w:numId="33">
    <w:abstractNumId w:val="13"/>
  </w:num>
  <w:num w:numId="34">
    <w:abstractNumId w:val="10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1"/>
  </w:num>
  <w:num w:numId="38">
    <w:abstractNumId w:val="26"/>
  </w:num>
  <w:num w:numId="39">
    <w:abstractNumId w:val="43"/>
  </w:num>
  <w:num w:numId="40">
    <w:abstractNumId w:val="31"/>
  </w:num>
  <w:num w:numId="41">
    <w:abstractNumId w:val="9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260FA"/>
    <w:rsid w:val="00133F3A"/>
    <w:rsid w:val="00133F62"/>
    <w:rsid w:val="00142CBE"/>
    <w:rsid w:val="00151BC3"/>
    <w:rsid w:val="001563BC"/>
    <w:rsid w:val="00161991"/>
    <w:rsid w:val="0016216A"/>
    <w:rsid w:val="001622D4"/>
    <w:rsid w:val="00164FF7"/>
    <w:rsid w:val="00170A7F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A5F"/>
    <w:rsid w:val="00B303CB"/>
    <w:rsid w:val="00B306A7"/>
    <w:rsid w:val="00B34F48"/>
    <w:rsid w:val="00B36919"/>
    <w:rsid w:val="00B36F5C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121E"/>
    <w:rsid w:val="00BC2ED5"/>
    <w:rsid w:val="00BC5E19"/>
    <w:rsid w:val="00BC6488"/>
    <w:rsid w:val="00BC677E"/>
    <w:rsid w:val="00BC78FF"/>
    <w:rsid w:val="00BC7B72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322F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4969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434E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21</Pages>
  <Words>7733</Words>
  <Characters>46400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25</cp:revision>
  <cp:lastPrinted>2021-05-07T08:10:00Z</cp:lastPrinted>
  <dcterms:created xsi:type="dcterms:W3CDTF">2021-05-06T09:58:00Z</dcterms:created>
  <dcterms:modified xsi:type="dcterms:W3CDTF">2021-09-23T07:43:00Z</dcterms:modified>
</cp:coreProperties>
</file>